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2043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organized criminal activity involving obstructing a highway or other passageway by engaging in a reckless driving exhibition or street racing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72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rPr>
          <w:u w:val="single"/>
        </w:rPr>
        <w:t xml:space="preserve">any offense punishable under Section 42.03(d) or 42.03(e);</w:t>
      </w:r>
    </w:p>
    <w:p w:rsidR="003F3435" w:rsidRDefault="0032493E">
      <w:pPr>
        <w:spacing w:line="480" w:lineRule="auto"/>
        <w:ind w:firstLine="1440"/>
        <w:jc w:val="both"/>
      </w:pPr>
      <w:r>
        <w:rPr>
          <w:u w:val="single"/>
        </w:rPr>
        <w:t xml:space="preserve">(20)</w:t>
      </w:r>
      <w:r xml:space="preserve">
        <w:t> </w:t>
      </w:r>
      <w:r xml:space="preserve">
        <w:t> </w:t>
      </w:r>
      <w:r>
        <w:t xml:space="preserve">any offense classified as a felony under the Tax Code; </w:t>
      </w:r>
      <w:r>
        <w:rPr>
          <w:u w:val="single"/>
        </w:rPr>
        <w:t xml:space="preserve">or</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any offense under Section 545.420 of the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