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88R14405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2047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 mental health allotment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48, Education Code, is amended by adding Section 48.117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48.117.</w:t>
      </w:r>
      <w:r>
        <w:rPr>
          <w:u w:val="single"/>
        </w:rPr>
        <w:t xml:space="preserve"> </w:t>
      </w:r>
      <w:r>
        <w:rPr>
          <w:u w:val="single"/>
        </w:rPr>
        <w:t xml:space="preserve"> </w:t>
      </w:r>
      <w:r>
        <w:rPr>
          <w:u w:val="single"/>
        </w:rPr>
        <w:t xml:space="preserve">MENTAL HEALTH ALLOTMENT.  (a)  In this section, "mental health services" means assessment, diagnosis, treatment, or counseling by a mental health professional to assist a student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alleviating mental or emotional illness, symptoms, conditions, or disorders, including alcohol or drug addiction;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understanding conscious or subconscious motivations;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resolving emotional, attitudinal, or relationship conflicts;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modifying feelings, attitudes, or behaviors that interfere with effective emotional, social, or intellectual functioning.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in which not less than 60 percent of the campuses in the district offer students access to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funds appropriated or otherwise available for the purpose, the commissioner may provide to a school district to which this section applies an annual allotment for each student who accesses mental health services through the district in an amount equal to the district's basic allotment or, if applicable, the sum of the basic allotment and the allotment under Section 48.101 to which the district is entitled, multiplied by a weight in an amount determined by the commissioner based on criteria related to the cost of providing those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