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88R14075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2049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as amended by Chapters 891 (H.B. 3083) and 1101 (H.B. 3808), Acts of the 85th Legislature, Regular Session, 2017, is reenacted and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a licensed master social worker, as defined by Section 505.002, Occupations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p>
    <w:p w:rsidR="003F3435" w:rsidRDefault="0032493E">
      <w:pPr>
        <w:spacing w:line="480" w:lineRule="auto"/>
        <w:ind w:firstLine="1440"/>
        <w:jc w:val="both"/>
      </w:pPr>
      <w:r>
        <w:rPr>
          <w:u w:val="single"/>
        </w:rPr>
        <w:t xml:space="preserve">(8)</w:t>
      </w:r>
      <w:r xml:space="preserve">
        <w:t> </w:t>
      </w:r>
      <w:r>
        <w:t xml:space="preserve">[</w:t>
      </w:r>
      <w:r>
        <w:rPr>
          <w:strike/>
        </w:rPr>
        <w:t xml:space="preserve">(6)</w:t>
      </w:r>
      <w:r>
        <w:t xml:space="preserve">]</w:t>
      </w:r>
      <w:r xml:space="preserve">
        <w:t> </w:t>
      </w:r>
      <w:r xml:space="preserve">
        <w:t> </w:t>
      </w:r>
      <w:r>
        <w:t xml:space="preserve">a licensed marriage and family therapist, as defined by Section 502.002, Occupations Code</w:t>
      </w:r>
      <w:r>
        <w:rPr>
          <w:u w:val="single"/>
        </w:rPr>
        <w:t xml:space="preserve">; and</w:t>
      </w:r>
    </w:p>
    <w:p w:rsidR="003F3435" w:rsidRDefault="0032493E">
      <w:pPr>
        <w:spacing w:line="480" w:lineRule="auto"/>
        <w:ind w:firstLine="1440"/>
        <w:jc w:val="both"/>
      </w:pPr>
      <w:r>
        <w:rPr>
          <w:u w:val="single"/>
        </w:rPr>
        <w:t xml:space="preserve">(9)</w:t>
      </w:r>
      <w:r xml:space="preserve">
        <w:t> </w:t>
      </w:r>
      <w:r xml:space="preserve">
        <w:t> </w:t>
      </w:r>
      <w:r>
        <w:t xml:space="preserve">a chemical dependency counselor, as defined by Section 504.001,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total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t xml:space="preserve">$160,000, for assistance from the state received by a licensed physician;</w:t>
      </w:r>
    </w:p>
    <w:p w:rsidR="003F3435" w:rsidRDefault="0032493E">
      <w:pPr>
        <w:spacing w:line="480" w:lineRule="auto"/>
        <w:ind w:firstLine="1440"/>
        <w:jc w:val="both"/>
      </w:pPr>
      <w:r>
        <w:t xml:space="preserve">(2)</w:t>
      </w:r>
      <w:r xml:space="preserve">
        <w:t> </w:t>
      </w:r>
      <w:r xml:space="preserve">
        <w:t> </w:t>
      </w:r>
      <w:r>
        <w:t xml:space="preserve">$80,000,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t xml:space="preserve">$60,000,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t xml:space="preserve">$40,000, for assistance from the state received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licensed clinical social worker, a licensed marriage and family therapist, or a licensed professional counselor who is not described by Subdivision (2);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master social worker;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holds a licensed professional counselor associate license issued by the Texas State Board of Examiners of Professional Counselors;</w:t>
      </w:r>
      <w:r>
        <w:t xml:space="preserve"> </w:t>
      </w:r>
      <w:r>
        <w:t xml:space="preserve">and</w:t>
      </w:r>
    </w:p>
    <w:p w:rsidR="003F3435" w:rsidRDefault="0032493E">
      <w:pPr>
        <w:spacing w:line="480" w:lineRule="auto"/>
        <w:ind w:firstLine="1440"/>
        <w:jc w:val="both"/>
      </w:pPr>
      <w:r>
        <w:t xml:space="preserve">(5)</w:t>
      </w:r>
      <w:r xml:space="preserve">
        <w:t> </w:t>
      </w:r>
      <w:r xml:space="preserve">
        <w:t> </w:t>
      </w:r>
      <w:r>
        <w:t xml:space="preserve">$10,000, for assistance from the state received by a licensed chemical dependency counselor, if the chemical dependency counselor has received an associate degree related to chemical dependency counseling or behavioral science.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61.604(d) and (e), Education Code, as added by Chapter 1101 (H.B. 3808), Acts of the 85th Legislature, Regular Session, 2017; and</w:t>
      </w:r>
    </w:p>
    <w:p w:rsidR="003F3435" w:rsidRDefault="0032493E">
      <w:pPr>
        <w:spacing w:line="480" w:lineRule="auto"/>
        <w:ind w:firstLine="1440"/>
        <w:jc w:val="both"/>
      </w:pPr>
      <w:r>
        <w:t xml:space="preserve">(2)</w:t>
      </w:r>
      <w:r xml:space="preserve">
        <w:t> </w:t>
      </w:r>
      <w:r xml:space="preserve">
        <w:t> </w:t>
      </w:r>
      <w:r>
        <w:t xml:space="preserve">Section 61.608(c), Education Code, as added by Chapter 1101 (H.B. 3808), Acts of the 85th Legislature, Regular Session, 2017.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