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88R6607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information to a party in an eviction suit regarding the party's right to appeal a judgment and procedures for appeal.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 Property Code, is amended by adding Section 24.005105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24.005105.</w:t>
      </w:r>
      <w:r>
        <w:rPr>
          <w:u w:val="single"/>
        </w:rPr>
        <w:t xml:space="preserve"> </w:t>
      </w:r>
      <w:r>
        <w:rPr>
          <w:u w:val="single"/>
        </w:rPr>
        <w:t xml:space="preserve"> </w:t>
      </w:r>
      <w:r>
        <w:rPr>
          <w:u w:val="single"/>
        </w:rPr>
        <w:t xml:space="preserve">STATEMENT OF PARTIES' RIGHT TO APPEAL JUDGMENT OF JUSTICE COURT. </w:t>
      </w:r>
      <w:r>
        <w:rPr>
          <w:u w:val="single"/>
        </w:rPr>
        <w:t xml:space="preserve"> </w:t>
      </w:r>
      <w:r>
        <w:rPr>
          <w:u w:val="single"/>
        </w:rPr>
        <w:t xml:space="preserve">At the same time that the justice court renders a judgment in a suit under this chapter, the justice court shall provide a statement to each party to the suit: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giving notice of the party's right to appeal the judgment, if 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explaining, as applicable, the procedure for appeal with respect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payment of a deposit;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filing of an appeal bond or a statement of inability to pay;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stating that, on request of the party, the court will provide a form for a statement of inability to pay.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24.005105, Property Code, as added by this Act, applies only to a judgment of a justice court in an eviction suit rendered on or after the effective date of this Act, regardless of whether the suit was filed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