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2057</w:t>
      </w:r>
    </w:p>
    <w:p w:rsidR="003F3435" w:rsidRDefault="0032493E">
      <w:pPr>
        <w:ind w:firstLine="720"/>
        <w:jc w:val="both"/>
      </w:pPr>
      <w:r>
        <w:t xml:space="preserve">(Lopez of Cameron, Ashby, Flores, Holland, Troxclair,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management of the Iwo Jima monument and museum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442,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IWO JIMA MONUMENT AND MUSEUM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442.065.</w:t>
      </w:r>
      <w:r>
        <w:rPr>
          <w:u w:val="single"/>
        </w:rPr>
        <w:t xml:space="preserve"> </w:t>
      </w:r>
      <w:r>
        <w:rPr>
          <w:u w:val="single"/>
        </w:rPr>
        <w:t xml:space="preserve"> </w:t>
      </w:r>
      <w:r>
        <w:rPr>
          <w:u w:val="single"/>
        </w:rPr>
        <w:t xml:space="preserve">DEFINITION.  In this subchapter, "monument and museum" means the Iwo Jima monument and museum at the Marine Military Academy in Harlingen,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442.066.</w:t>
      </w:r>
      <w:r>
        <w:rPr>
          <w:u w:val="single"/>
        </w:rPr>
        <w:t xml:space="preserve"> </w:t>
      </w:r>
      <w:r>
        <w:rPr>
          <w:u w:val="single"/>
        </w:rPr>
        <w:t xml:space="preserve"> </w:t>
      </w:r>
      <w:r>
        <w:rPr>
          <w:u w:val="single"/>
        </w:rPr>
        <w:t xml:space="preserve">IWO JIMA MONUMENT AND MUSEUM; FUND. </w:t>
      </w:r>
      <w:r>
        <w:rPr>
          <w:u w:val="single"/>
        </w:rPr>
        <w:t xml:space="preserve"> </w:t>
      </w:r>
      <w:r>
        <w:rPr>
          <w:u w:val="single"/>
        </w:rPr>
        <w:t xml:space="preserve">(a) </w:t>
      </w:r>
      <w:r>
        <w:rPr>
          <w:u w:val="single"/>
        </w:rPr>
        <w:t xml:space="preserve"> </w:t>
      </w:r>
      <w:r>
        <w:rPr>
          <w:u w:val="single"/>
        </w:rP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authorized by this section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preserving military documents, relics, and other items of historical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accepting donations of money, property, and historical relics;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property and historical relics with funds available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Iwo Jima monument and museum fund is created as a fund outside the state treasury.  The commission shall administer the fund but may contract with the nonprofit entity that owns the monument and museum for administration of the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admissions revenue from the operation of the monument and museum;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sales revenue from the operation of the monument and museum gift shop;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donations made to the commission for the monument and museum.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and income from the assets of the Iwo Jima monument and museum fund shall be credited to and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