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88R14088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2065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recovery of overpayments made to dentists by certain employee benefit plans and health insurers.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1451.206, Insurance Code, is amended by adding Subsections (d) and (e)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employee benefit plan or health insurance policy provider or issuer may not recover an overpayment made to a dentist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180th day after the date the dentist receives the payment, the provider or issuer provides written notice of the overpayment to the dentist that includes the basis and specific reasons for the request for recovery of funds;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dentist: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fails to provide a written objection to the request for recovery of funds and does not make arrangements for repayment of the requested funds on or before the 45th day after the date the dentist receives the notice;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objects to the request in accordance with the procedure described by Subsection (e) and exhausts all rights of appeal.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employee benefit plan or health insurance policy provider or issuer shall provide a dentist with the opportunity to challenge an overpayment recovery request and establish written policies and procedures for a dentist to object to an overpayment recovery request.  The procedures must allow the dentist to access the claims information in dispute.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employee benefit plan for a plan year that commences on or after January 1, 2024, or a health insurance policy delivered, issued for delivery, or renewed on or after January 1, 2024, and any provider network contract entered into on or after the effective date of this Act in connection with one of those plans or policies.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