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posting of signs regarding human trafficking penalties by certain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37.086(a),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"school"</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"Premises" has the meaning assigned by Section 481.134, 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"School"</w:t>
      </w:r>
      <w:r>
        <w:t xml:space="preserve">] means a public [</w:t>
      </w:r>
      <w:r>
        <w:rPr>
          <w:strike/>
        </w:rPr>
        <w:t xml:space="preserve">or private</w:t>
      </w:r>
      <w:r>
        <w:t xml:space="preserve">] primary or secondary school.</w:t>
      </w:r>
    </w:p>
    <w:p w:rsidR="003F3435" w:rsidRDefault="0032493E">
      <w:pPr>
        <w:spacing w:line="480" w:lineRule="auto"/>
        <w:ind w:firstLine="720"/>
        <w:jc w:val="both"/>
      </w:pPr>
      <w:r>
        <w:t xml:space="preserve">(b)</w:t>
      </w:r>
      <w:r xml:space="preserve">
        <w:t> </w:t>
      </w:r>
      <w:r xml:space="preserve">
        <w:t> </w:t>
      </w:r>
      <w:r>
        <w:t xml:space="preserve">Each </w:t>
      </w:r>
      <w:r>
        <w:rPr>
          <w:u w:val="single"/>
        </w:rPr>
        <w:t xml:space="preserve">public</w:t>
      </w:r>
      <w:r>
        <w:t xml:space="preserve"> school shall post warning signs of the increased penalties for trafficking of persons under Section 20A.02(b-1)(2), Penal Code, </w:t>
      </w:r>
      <w:r>
        <w:rPr>
          <w:u w:val="single"/>
        </w:rPr>
        <w:t xml:space="preserve">in a</w:t>
      </w:r>
      <w:r xml:space="preserve">
        <w:t> </w:t>
      </w:r>
      <w:r>
        <w:t xml:space="preserve">[</w:t>
      </w:r>
      <w:r>
        <w:rPr>
          <w:strike/>
        </w:rPr>
        <w:t xml:space="preserve">at the following locations: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parallel to and along the exterior boundaries of the school's premises;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each roadway or other way of access to the premises;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premises not fenced, at least every five hundred feet along the exterior boundaries of the premises;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each entrance to the premises; and</w:t>
      </w:r>
    </w:p>
    <w:p w:rsidR="003F3435" w:rsidRDefault="0032493E">
      <w:pPr>
        <w:spacing w:line="480" w:lineRule="auto"/>
        <w:ind w:firstLine="1440"/>
        <w:jc w:val="both"/>
      </w:pPr>
      <w:r>
        <w:t xml:space="preserve">[</w:t>
      </w:r>
      <w:r>
        <w:rPr>
          <w:strike/>
        </w:rPr>
        <w:t xml:space="preserve">(5)  at</w:t>
      </w:r>
      <w:r>
        <w:t xml:space="preserve">] conspicuous </w:t>
      </w:r>
      <w:r>
        <w:rPr>
          <w:u w:val="single"/>
        </w:rPr>
        <w:t xml:space="preserve">place</w:t>
      </w:r>
      <w:r>
        <w:t xml:space="preserve"> [</w:t>
      </w:r>
      <w:r>
        <w:rPr>
          <w:strike/>
        </w:rPr>
        <w:t xml:space="preserve">places</w:t>
      </w:r>
      <w:r>
        <w:t xml:space="preserve">] reasonably likely to be viewed by all </w:t>
      </w:r>
      <w:r>
        <w:rPr>
          <w:u w:val="single"/>
        </w:rPr>
        <w:t xml:space="preserve">school employees and visitors</w:t>
      </w:r>
      <w:r>
        <w:t xml:space="preserve"> [</w:t>
      </w:r>
      <w:r>
        <w:rPr>
          <w:strike/>
        </w:rPr>
        <w:t xml:space="preserve">persons entering the premises</w:t>
      </w:r>
      <w:r>
        <w:t xml:space="preserve">].</w:t>
      </w:r>
    </w:p>
    <w:p w:rsidR="003F3435" w:rsidRDefault="0032493E">
      <w:pPr>
        <w:spacing w:line="480" w:lineRule="auto"/>
        <w:ind w:firstLine="720"/>
        <w:jc w:val="both"/>
      </w:pPr>
      <w:r>
        <w:t xml:space="preserve">(c)</w:t>
      </w:r>
      <w:r xml:space="preserve">
        <w:t> </w:t>
      </w:r>
      <w:r xml:space="preserve">
        <w:t> </w:t>
      </w:r>
      <w:r>
        <w:t xml:space="preserve">The agency, in consultation with the human trafficking prevention task force created under Section 402.035, Government Code, shall adopt rules regarding the [</w:t>
      </w:r>
      <w:r>
        <w:rPr>
          <w:strike/>
        </w:rPr>
        <w:t xml:space="preserve">placement, installation, design, size,</w:t>
      </w:r>
      <w:r>
        <w:t xml:space="preserve">] wording[</w:t>
      </w:r>
      <w:r>
        <w:rPr>
          <w:strike/>
        </w:rPr>
        <w:t xml:space="preserve">, and maintenance procedures</w:t>
      </w:r>
      <w:r>
        <w:t xml:space="preserve">] for the warning signs required under this section </w:t>
      </w:r>
      <w:r>
        <w:rPr>
          <w:u w:val="single"/>
        </w:rPr>
        <w:t xml:space="preserve">and requiring</w:t>
      </w:r>
      <w:r>
        <w:t xml:space="preserve">[</w:t>
      </w:r>
      <w:r>
        <w:rPr>
          <w:strike/>
        </w:rPr>
        <w:t xml:space="preserve">.</w:t>
      </w:r>
      <w:r xml:space="preserve">
        <w:rPr>
          <w:strike/>
        </w:rPr>
        <w:t> </w:t>
      </w:r>
      <w:r xml:space="preserve">
        <w:rPr>
          <w:strike/>
        </w:rPr>
        <w:t> </w:t>
      </w:r>
      <w:r>
        <w:rPr>
          <w:strike/>
        </w:rPr>
        <w:t xml:space="preserve">The rules must require</w:t>
      </w:r>
      <w:r>
        <w:t xml:space="preserve">] that each warning sign:</w:t>
      </w:r>
    </w:p>
    <w:p w:rsidR="003F3435" w:rsidRDefault="0032493E">
      <w:pPr>
        <w:spacing w:line="480" w:lineRule="auto"/>
        <w:ind w:firstLine="1440"/>
        <w:jc w:val="both"/>
      </w:pPr>
      <w:r>
        <w:t xml:space="preserve">(1)</w:t>
      </w:r>
      <w:r xml:space="preserve">
        <w:t> </w:t>
      </w:r>
      <w:r xml:space="preserve">
        <w:t> </w:t>
      </w:r>
      <w:r>
        <w:t xml:space="preserve">include a description of the provisions of Section 20A.02(b-1), Penal Code, including the penalties for violating that section;</w:t>
      </w:r>
    </w:p>
    <w:p w:rsidR="003F3435" w:rsidRDefault="0032493E">
      <w:pPr>
        <w:spacing w:line="480" w:lineRule="auto"/>
        <w:ind w:firstLine="1440"/>
        <w:jc w:val="both"/>
      </w:pPr>
      <w:r>
        <w:t xml:space="preserve">(2)</w:t>
      </w:r>
      <w:r xml:space="preserve">
        <w:t> </w:t>
      </w:r>
      <w:r xml:space="preserve">
        <w:t> </w:t>
      </w:r>
      <w:r>
        <w:t xml:space="preserve">be written in English and Spanish; and</w:t>
      </w:r>
    </w:p>
    <w:p w:rsidR="003F3435" w:rsidRDefault="0032493E">
      <w:pPr>
        <w:spacing w:line="480" w:lineRule="auto"/>
        <w:ind w:firstLine="1440"/>
        <w:jc w:val="both"/>
      </w:pPr>
      <w:r>
        <w:t xml:space="preserve">(3)</w:t>
      </w:r>
      <w:r xml:space="preserve">
        <w:t> </w:t>
      </w:r>
      <w:r xml:space="preserve">
        <w:t> </w:t>
      </w:r>
      <w:r>
        <w:t xml:space="preserve">be at least 8-1/2 by 11 inches in size.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