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2023S0256-1  03/07/23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2076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members of the legislature to training materials used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656, Government Code, is amended by adding Section 656.056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656.056.</w:t>
      </w:r>
      <w:r>
        <w:rPr>
          <w:u w:val="single"/>
        </w:rPr>
        <w:t xml:space="preserve"> </w:t>
      </w:r>
      <w:r>
        <w:rPr>
          <w:u w:val="single"/>
        </w:rPr>
        <w:t xml:space="preserve"> </w:t>
      </w:r>
      <w:r>
        <w:rPr>
          <w:u w:val="single"/>
        </w:rPr>
        <w:t xml:space="preserve">LEGISLATIVE ACCESS TO TRAINING MATERIALS.  A state agency shall make available to members of the legislature the training materials it provides to agency employees, including presentation slides, memoranda, videos, and other materials.  With each set of training materials, the agency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brief description of the purpose of the training;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whom the training is provided;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how often the training is provided;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training is mandatory or voluntary;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training materials were created by the state agency and, if not, the source of the materials.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