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88R9694 SCL-D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disruption of quiet enjoyment of a residence with pamphlets, leaflets, or flyers demonstrating ethnic or religious animus;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Property Code, is amended by adding Chapter 31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31. </w:t>
      </w:r>
      <w:r>
        <w:rPr>
          <w:u w:val="single"/>
        </w:rPr>
        <w:t xml:space="preserve"> </w:t>
      </w:r>
      <w:r>
        <w:rPr>
          <w:u w:val="single"/>
        </w:rPr>
        <w:t xml:space="preserve">CIVIL PENALTIES FOR CERTAIN DISRUPTIONS OF QUIET ENJOYMENT OF PROPERTY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DISRUPTION OF QUIET ENJOYMENT OF RESIDENCE WITH CERTAIN HATE SPEECH.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interferes with another person's quiet enjoyment of that person's residence by distributing a pamphlet, leaflet, or flyer that demonstrates ethnic or religious animus is subject to a civil penalty in an amount of $5,000.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or a district or county attorney may bring an action to collect a civil penalty under this section.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or district or county attorney may recover reasonable attorney's fees and costs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31.001, Property Code, as added by this Act, applies only to a pamphlet, leaflet, or flyer distributed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