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Whitmire, Eckhardt, 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2085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grant program for crime victim notification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772, Government Code, is amended by adding Section 772.0079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772.0079.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 FOR CRIME VICTIM NOTIFICATION SYSTEMS.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"Criminal justice division" means the criminal justice division established under Section 772.006.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"Victim" means a person who has suffered personal injury or death as a result of the criminal conduct of another.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 and administer a grant program to provide financial assistance to a law enforcement agency for purposes of purchasing or developing a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evaluating grant applications and awarding grants;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related to grant amounts;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this section and ensuring compliance with any conditions of the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crime victim notification system for which a law enforcement agency seeks a grant under this section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automatically, and without the requirement to download a software application to opt in to notifications, notify a victim or relative of a deceased victim by e-mail or text message of all of the following regarding a victim's case: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incident report is created;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case number;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names of investigators who are assigned to the case;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arrest is made;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affidavit alleging probable cause is presented to the attorney representing the state;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is arraigned under Chapter 26, Code of Criminal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the case has been dismissed by the attorney representing the state;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information relevant to the case;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interface with the law enforcement agency's system of records;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configurable triggers to directly send messages;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the capability: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attach informational brochures or other electronic attachments to the messages;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person to check the case status;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transmit notifications in English or Spanish;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respond to questions via artificial intelligence;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monitor the number and types of messages sent and enable a user to visualize that data;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 survey tool so the law enforcement agency can solicit feedback on victims services.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in the crime victim notification system is confidential and not subject to disclosure under Chapter 552.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justice division may use any available revenue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a condition of receiving a grant under this section, a law enforcement agency shall annually report to the criminal justice division the number and types of notifications sent using the crime victim notification system.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year, the criminal justice division shall compile the information described by Subsection (g) into a written report provided to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