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2085</w:t>
      </w:r>
    </w:p>
    <w:p w:rsidR="003F3435" w:rsidRDefault="0032493E">
      <w:pPr>
        <w:ind w:firstLine="720"/>
        <w:jc w:val="both"/>
      </w:pPr>
      <w:r>
        <w:t xml:space="preserve">(Walle)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for crime victim notification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772.0079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772.0079.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FOR CRIME VICTIM NOTIFICATION SYSTEMS.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"Victim" means a person who has suffered personal injury or death as a result of the criminal conduct of another.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for purposes of purchasing or developing a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evaluating grant applications and awarding grants;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related to grant amounts;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this section and ensuring compliance with any conditions of the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crime victim notification system for which a law enforcement agency seeks a grant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automatically, and without the requirement to download a software application to opt in to notifications, notify a victim or relative of a deceased victim by e-mail or text message of all of the following regarding a victim's case: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on which the incident report is created;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names of investigators who are assigned to the case;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arrest is made;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alleging probable cause is presented to the attorney representing the state;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arraigned under Chapter 26,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case has been dismissed by the attorney representing the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relevant to the case;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interface with the law enforcement agency's system of records;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configurable triggers to directly send messages;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capability: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attach informational brochures or other electronic attachments to the messages;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person to check the case status;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transmit notifications in English or Spanish;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respond to questions via artificial intelligence;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monitor the number and types of messages sent and enable a user to visualize that data;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survey tool so the law enforcement agency can solicit feedback on victims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in the crime victim notification system is confidential and not subject to disclosure under Chapter 552.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revenue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condition of receiving a grant under this section, a law enforcement agency shall annually report to the criminal justice division the number and types of notifications sent using the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year, the criminal justice division shall compile the information described by Subsection (g) into a written report provided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