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Birdwell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2097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authority of a municipality to annex property in certain water districts.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1.</w:t>
      </w:r>
      <w:r xml:space="preserve">
        <w:t> </w:t>
      </w:r>
      <w:r xml:space="preserve">
        <w:t> </w:t>
      </w:r>
      <w:r>
        <w:t xml:space="preserve">Section 43.071(e), Local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(e)</w:t>
      </w:r>
      <w:r xml:space="preserve">
        <w:t> </w:t>
      </w:r>
      <w:r>
        <w:t xml:space="preserve">Subsections (b)-(d) do not apply to the annexation of: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 an area within a water or sewer district if: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>
        <w:t xml:space="preserve">the governing body of the district consents to the annexation;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>
        <w:t xml:space="preserve">the owners in fee simple of the area to be annexed consent to the annexation;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>
        <w:t xml:space="preserve">the annexed area does not exceed 525 feet in width at its widest point;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 a water or sewer district that has a noncontiguous part that is not within the extraterritorial jurisdiction of the municipality; [</w:t>
      </w:r>
      <w:r>
        <w:rPr>
          <w:strike/>
        </w:rPr>
        <w:t xml:space="preserve">or</w:t>
      </w:r>
      <w:r>
        <w:t xml:space="preserve">]</w:t>
      </w:r>
    </w:p>
    <w:p w:rsidR="003F3435" w:rsidRDefault="0032493E">
      <w:pPr>
        <w:spacing w:line="480" w:lineRule="auto"/>
        <w:ind w:firstLine="720"/>
        <w:jc w:val="both"/>
      </w:pPr>
      <w:r>
        <w:t xml:space="preserve">(3) a part of a special utility district created or operating under Chapter 65, Water Code</w:t>
      </w:r>
      <w:r>
        <w:rPr>
          <w:u w:val="single"/>
        </w:rPr>
        <w:t xml:space="preserve">; or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(4) property by a municipality with a population of 3,000 or less if the governing body of the district consents to the annexation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2097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