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2107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Committee on Natural Resources &amp; Economic Development;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</w:t>
      </w:r>
      <w:r xml:space="preserve">
        <w:t> </w:t>
      </w:r>
      <w:r>
        <w:t xml:space="preserve">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2107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ownership of the pore space underlying the surface of 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5, Property Code, is amended by adding Subchapter H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H. </w:t>
      </w:r>
      <w:r>
        <w:rPr>
          <w:u w:val="single"/>
        </w:rPr>
        <w:t xml:space="preserve"> </w:t>
      </w:r>
      <w:r>
        <w:rPr>
          <w:u w:val="single"/>
        </w:rPr>
        <w:t xml:space="preserve">OWNERSHIP OF PORE SPACE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5.251.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chapter, "pore space" means the geologic structures beneath the surface of land, including voids and cavities, to be used for the storage of carbon dioxide.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5.252.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OWNERSHIP OF PORE SPACE UNDERLYING THE SURFACE.  (a)  Unless expressly modified, reserved, or altered by a deed, conveyance, lease, or contract, the ownership of pore space is vested in the owner or owners of the surface estate of the land.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modify common law existing on the effective date of this section as it relates to the relationship between the mineral and surface estates.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2107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