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88R9078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calculation of the enrichment tax rate for certain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45.0032, Education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only to a district that adopted for the preceding tax year a maintenance tax rate that is less than the sum of the district's maximum compressed tax rate, as determined under Section 48.2551, and six cents. </w:t>
      </w:r>
      <w:r>
        <w:rPr>
          <w:u w:val="single"/>
        </w:rPr>
        <w:t xml:space="preserve"> </w:t>
      </w:r>
      <w:r>
        <w:rPr>
          <w:u w:val="single"/>
        </w:rPr>
        <w:t xml:space="preserve">For purposes of Section 26.08(n)(2)(A), Tax Code, the enrichment tax rate for the preceding tax year of a district to which this subsection applies is the sum of the district's enrichment tax rate under Subsection (b) and one cent.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to a school district beginning with the 2023 tax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