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88R13722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property owner liability for personal injury claims arising from insurance restoration projects in which a contractor or subcontractor does not maintain workers' compensation insurance coverage.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95, Civil Practice and Remedies Code, is amended by adding Section 95.005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FOR ELECTION NOT TO MAINTAIN WORKERS' COMPENSATION INSURANCE COVERAGE FOR CERTAIN PROJECTS. (a) In this section, "insurance restoration project" means work performed to repair a home, business, or other structure following a fire, a natural disaster, water damage, or mold damage and for which the work is or will be compensated by insurance.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95.003, a property owner is not liable for personal injury or death to a contractor, subcontractor, or employee of a contractor or subcontractor arising from work on an insurance restoration project if the contractor or subcontractor does not maintain workers' compensation insurance coverage under Chapter 406, Labor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