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88R12139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Springer</w:t>
      </w:r>
      <w:r xml:space="preserve">
        <w:tab wTab="150" tlc="none" cTlc="0"/>
      </w:r>
      <w:r>
        <w:t xml:space="preserve">S.B.</w:t>
      </w:r>
      <w:r xml:space="preserve">
        <w:t> </w:t>
      </w:r>
      <w:r>
        <w:t xml:space="preserve">No.</w:t>
      </w:r>
      <w:r xml:space="preserve">
        <w:t> </w:t>
      </w:r>
      <w:r>
        <w:t xml:space="preserve">2122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fast growth allotment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school district is entitled to an annual allotment equal to the basic allotment multiplied by the applicable weight under Subsection (a-1) for each enrolled student equal to </w:t>
      </w:r>
      <w:r>
        <w:rPr>
          <w:u w:val="single"/>
        </w:rPr>
        <w:t xml:space="preserve">the greater of:</w:t>
      </w:r>
    </w:p>
    <w:p w:rsidR="003F3435" w:rsidRDefault="0032493E">
      <w:pPr>
        <w:spacing w:line="480" w:lineRule="auto"/>
        <w:ind w:firstLine="1440"/>
        <w:jc w:val="both"/>
      </w:pPr>
      <w:r>
        <w:rPr>
          <w:u w:val="single"/>
        </w:rPr>
        <w:t xml:space="preserve">(1)</w:t>
      </w:r>
      <w:r xml:space="preserve">
        <w:t> </w:t>
      </w:r>
      <w:r xml:space="preserve">
        <w:t> </w:t>
      </w:r>
      <w:r>
        <w:t xml:space="preserve">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annual growth in student enrollment in the district for the preceding three school years, if the growth in student enrollment in the district for the preceding three school years is in the top quartile of student enrollment growth in school districts in the state for that period, as determined by the commissioner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