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2493E">
      <w:pPr>
        <w:ind w:firstLine="720"/>
        <w:jc w:val="both"/>
      </w:pPr>
      <w:r>
        <w:t xml:space="preserve">(Howard)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advanced mathematics program for public school students in middle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28, Education Code, is amended by adding Section 28.029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MIDDLE SCHOOL ADVANCED MATHEMATICS PROGRAM.  (a) To increase the number of students who complete advanced mathematics courses in high school, each school district and open-enrollment charter school shall develop an advanced mathematics program for middle school students that is designed to enable those students to enroll in Algebra I in eighth grade.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program, subject to Subsection (c), a school district or open-enrollment charter school shall automatically enroll in an advanced mathematics course each sixth grade student who performed in the top 40 percent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fifth grade mathematics assessment instrument administered under Section 39.023(a);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measure that includes the student's fifth grade class ranking or a demonstrated proficiency in the student's fifth grade mathematics coursework.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parent or guardian of a student described by Subsection (b) may opt the student out of automatic enrollment under that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each school district or open-enrollment charter school shall develop the middle school advanced mathematics program required by Section 28.029,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