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2023, read first time and referred to Committee on Education;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12, Nays 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advanced mathematics program for public school students in middle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28, Education Code, is amended by adding Section 28.029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MIDDLE SCHOOL ADVANCED MATHEMATICS PROGRAM.  (a) To increase the number of students who complete advanced mathematics courses in high school, each school district and open-enrollment charter school shall develop an advanced mathematics program for middle school students that is designed to enable those students to enroll in Algebra I in eighth grade.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the program, subject to Subsection (c), a school district or open-enrollment charter school shall automatically enroll in an advanced mathematics course each sixth grade student who performed in the top 40 percent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fifth grade mathematics assessment instrument administered under Section 39.023(a);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measure that includes the student's fifth grade class ranking or a demonstrated proficiency in the student's fifth grade mathematics coursework.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parent or guardian of a student described by Subsection (b) may opt the student out of automatic enrollment under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each school district or open-enrollment charter school shall develop the middle school advanced mathematics program required by Section 28.029,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