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88R11528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Sparks</w:t>
      </w:r>
      <w:r xml:space="preserve">
        <w:tab wTab="150" tlc="none" cTlc="0"/>
      </w:r>
      <w:r>
        <w:t xml:space="preserve">S.B.</w:t>
      </w:r>
      <w:r xml:space="preserve">
        <w:t> </w:t>
      </w:r>
      <w:r>
        <w:t xml:space="preserve">No.</w:t>
      </w:r>
      <w:r xml:space="preserve">
        <w:t> </w:t>
      </w:r>
      <w:r>
        <w:t xml:space="preserve">2152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foreign emissions of air contaminants in nonattainment areas and the required revision of the state implementation plan to account for those emissions.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382, Health and Safety Code, is amended by adding Section 382.0175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382.0175.</w:t>
      </w:r>
      <w:r>
        <w:rPr>
          <w:u w:val="single"/>
        </w:rPr>
        <w:t xml:space="preserve"> </w:t>
      </w:r>
      <w:r>
        <w:rPr>
          <w:u w:val="single"/>
        </w:rPr>
        <w:t xml:space="preserve"> </w:t>
      </w:r>
      <w:r>
        <w:rPr>
          <w:u w:val="single"/>
        </w:rPr>
        <w:t xml:space="preserve">AMOUNT OF FOREIGN EMISSIONS IN NONATTAINMENT AREAS; REQUIRED REVISION OF STATE IMPLEMENTATION PLAN.  (a)  In this section, "foreign emissions" means emissions of air contaminants emanating from outside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October 1, 2023, the commission shall request from the administrator the amount of foreign emissions that are detected or estimated to be at each federal air quality monitoring site located in each nonattainment area in this state with respect to each air contaminant for which the area is designated as being in nonattainment for any national ambient air quality standards.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commission does not receive the information requested under Subsection (b) within 180 days of the date of the commission's request, the commission shall estimate the amount of foreign emissions described by Subsection (b).  The commission may contract with a third party to conduct the estimate required by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using the information received from a request made under Subsection (b) or an estimate conducted under Subsection (c), revise the state implementation plan to account for the amount of foreign emissions in each nonattainment area in this state in any manner permissible under federal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