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88R9920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human operators of automated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545.451(4),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"Human operator" means a natural person in an automated motor vehicle who </w:t>
      </w:r>
      <w:r>
        <w:rPr>
          <w:u w:val="single"/>
        </w:rPr>
        <w:t xml:space="preserve">is capable of performing all aspects of</w:t>
      </w:r>
      <w:r>
        <w:t xml:space="preserve"> [</w:t>
      </w:r>
      <w:r>
        <w:rPr>
          <w:strike/>
        </w:rPr>
        <w:t xml:space="preserve">controls</w:t>
      </w:r>
      <w:r>
        <w:t xml:space="preserve">] the entire dynamic driving task.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545.452(a),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Unless otherwise provided by this subchapter, the operation of automated motor vehicles, including any commercial use, and automated driving systems are governed exclusively by 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  this subchapter 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  Section 547.618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545, Transportation Code, is amended by adding Section 545.4525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545.4525.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OF HUMAN OPERATOR.  A human operator of an automated motor vehicle must hold a valid driver's license issued under Chapter 521 or 522.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545.454(a),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automated motor vehicle may operate in this state with the automated driving system engaged </w:t>
      </w:r>
      <w:r>
        <w:rPr>
          <w:u w:val="single"/>
        </w:rPr>
        <w:t xml:space="preserve">only if</w:t>
      </w:r>
      <w:r>
        <w:t xml:space="preserve"> [</w:t>
      </w:r>
      <w:r>
        <w:rPr>
          <w:strike/>
        </w:rPr>
        <w:t xml:space="preserve">, regardless of whether</w:t>
      </w:r>
      <w:r>
        <w:t xml:space="preserve">] a human operator is physically present in the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545.453 and 547.618, Transportation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