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2157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burden of proof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153.004, Family Code, is amended by amending Subsection (d-1) to read as follows:</w:t>
      </w:r>
    </w:p>
    <w:p w:rsidR="003F3435" w:rsidRDefault="0032493E">
      <w:pPr>
        <w:spacing w:line="480" w:lineRule="auto"/>
        <w:ind w:firstLine="720"/>
        <w:jc w:val="both"/>
      </w:pPr>
      <w:r>
        <w:t xml:space="preserve">(d-1)</w:t>
      </w:r>
      <w:r xml:space="preserve">
        <w:t> </w:t>
      </w:r>
      <w:r xml:space="preserve">
        <w:t> </w:t>
      </w:r>
      <w:r>
        <w:rPr>
          <w:u w:val="single"/>
        </w:rPr>
        <w:t xml:space="preserve">Subject to</w:t>
      </w:r>
      <w:r>
        <w:t xml:space="preserve"> </w:t>
      </w:r>
      <w:r>
        <w:t xml:space="preserve">[</w:t>
      </w:r>
      <w:r>
        <w:rPr>
          <w:strike/>
        </w:rPr>
        <w:t xml:space="preserve">Notwithstanding</w:t>
      </w:r>
      <w:r>
        <w:t xml:space="preserve">] Subsection (d)</w:t>
      </w:r>
      <w:r>
        <w:rPr>
          <w:u w:val="single"/>
        </w:rPr>
        <w:t xml:space="preserve">(2)</w:t>
      </w:r>
      <w:r>
        <w:t xml:space="preserve">, </w:t>
      </w:r>
      <w:r>
        <w:rPr>
          <w:u w:val="single"/>
        </w:rPr>
        <w:t xml:space="preserve">but notwithstanding Subsection (d)(1),</w:t>
      </w:r>
      <w:r>
        <w:t xml:space="preserve"> the court may allow a parent to have access to a child if the court:</w:t>
      </w:r>
    </w:p>
    <w:p w:rsidR="003F3435" w:rsidRDefault="0032493E">
      <w:pPr>
        <w:spacing w:line="480" w:lineRule="auto"/>
        <w:ind w:firstLine="1440"/>
        <w:jc w:val="both"/>
      </w:pPr>
      <w:r>
        <w:t xml:space="preserve">(1)</w:t>
      </w:r>
      <w:r xml:space="preserve">
        <w:t> </w:t>
      </w:r>
      <w:r xml:space="preserve">
        <w:t> </w:t>
      </w:r>
      <w:r>
        <w:t xml:space="preserve">finds that awarding the parent access to the child would not endanger the child's physical health or emotional welfare and would be in the best interest of the child; and</w:t>
      </w:r>
    </w:p>
    <w:p w:rsidR="003F3435" w:rsidRDefault="0032493E">
      <w:pPr>
        <w:spacing w:line="480" w:lineRule="auto"/>
        <w:ind w:firstLine="1440"/>
        <w:jc w:val="both"/>
      </w:pPr>
      <w:r>
        <w:t xml:space="preserve">(2)</w:t>
      </w:r>
      <w:r xml:space="preserve">
        <w:t> </w:t>
      </w:r>
      <w:r xml:space="preserve">
        <w:t> </w:t>
      </w:r>
      <w:r>
        <w:t xml:space="preserve">renders a possession order that is designed to protect the safety and well-being of the child and any other person who has been a victim of family violence committed by the parent and that may include a requirement that:</w:t>
      </w:r>
    </w:p>
    <w:p w:rsidR="003F3435" w:rsidRDefault="0032493E">
      <w:pPr>
        <w:spacing w:line="480" w:lineRule="auto"/>
        <w:ind w:firstLine="2160"/>
        <w:jc w:val="both"/>
      </w:pPr>
      <w:r>
        <w:t xml:space="preserve">(A)</w:t>
      </w:r>
      <w:r xml:space="preserve">
        <w:t> </w:t>
      </w:r>
      <w:r xml:space="preserve">
        <w:t> </w:t>
      </w:r>
      <w:r>
        <w:t xml:space="preserve">the periods of access be continuously supervised by an entity or person chosen by the court;</w:t>
      </w:r>
    </w:p>
    <w:p w:rsidR="003F3435" w:rsidRDefault="0032493E">
      <w:pPr>
        <w:spacing w:line="480" w:lineRule="auto"/>
        <w:ind w:firstLine="2160"/>
        <w:jc w:val="both"/>
      </w:pPr>
      <w:r>
        <w:t xml:space="preserve">(B)</w:t>
      </w:r>
      <w:r xml:space="preserve">
        <w:t> </w:t>
      </w:r>
      <w:r xml:space="preserve">
        <w:t> </w:t>
      </w:r>
      <w:r>
        <w:t xml:space="preserve">the exchange of possession of the child occur in a protective setting;</w:t>
      </w:r>
    </w:p>
    <w:p w:rsidR="003F3435" w:rsidRDefault="0032493E">
      <w:pPr>
        <w:spacing w:line="480" w:lineRule="auto"/>
        <w:ind w:firstLine="2160"/>
        <w:jc w:val="both"/>
      </w:pPr>
      <w:r>
        <w:t xml:space="preserve">(C)</w:t>
      </w:r>
      <w:r xml:space="preserve">
        <w:t> </w:t>
      </w:r>
      <w:r xml:space="preserve">
        <w:t> </w:t>
      </w:r>
      <w:r>
        <w:t xml:space="preserve">the parent abstain from the consumption of alcohol or a controlled substance, as defined by Chapter 481, Health and Safety Code, within 12 hours prior to or during the period of access to the child; or</w:t>
      </w:r>
    </w:p>
    <w:p w:rsidR="003F3435" w:rsidRDefault="0032493E">
      <w:pPr>
        <w:spacing w:line="480" w:lineRule="auto"/>
        <w:ind w:firstLine="2160"/>
        <w:jc w:val="both"/>
      </w:pPr>
      <w:r>
        <w:t xml:space="preserve">(D)</w:t>
      </w:r>
      <w:r xml:space="preserve">
        <w:t> </w:t>
      </w:r>
      <w:r xml:space="preserve">
        <w:t> </w:t>
      </w:r>
      <w:r>
        <w:t xml:space="preserve">the parent attend and complete a battering intervention and prevention program as provided by Article 42.141, Code of Criminal Procedure, or, if such a program is not available, complete a course of treatment under Section 153.010.</w:t>
      </w:r>
    </w:p>
    <w:p w:rsidR="003F3435" w:rsidRDefault="0032493E">
      <w:pPr>
        <w:spacing w:line="480" w:lineRule="auto"/>
        <w:ind w:firstLine="720"/>
        <w:jc w:val="both"/>
      </w:pPr>
      <w:r>
        <w:t xml:space="preserve">(e)</w:t>
      </w:r>
      <w:r xml:space="preserve">
        <w:t> </w:t>
      </w:r>
      <w:r xml:space="preserve">
        <w:t> </w:t>
      </w:r>
      <w:r>
        <w:t xml:space="preserve">It is a rebuttable presumption that it is not in the best interest of a child for a parent to have unsupervised visitation with the child if credible evidence is presented of a history or pattern of past or present child neglect or abuse or family violence by:</w:t>
      </w:r>
    </w:p>
    <w:p w:rsidR="003F3435" w:rsidRDefault="0032493E">
      <w:pPr>
        <w:spacing w:line="480" w:lineRule="auto"/>
        <w:ind w:firstLine="1440"/>
        <w:jc w:val="both"/>
      </w:pPr>
      <w:r>
        <w:t xml:space="preserve">(1)</w:t>
      </w:r>
      <w:r xml:space="preserve">
        <w:t> </w:t>
      </w:r>
      <w:r xml:space="preserve">
        <w:t> </w:t>
      </w:r>
      <w:r>
        <w:t xml:space="preserve">that parent; or</w:t>
      </w:r>
    </w:p>
    <w:p w:rsidR="003F3435" w:rsidRDefault="0032493E">
      <w:pPr>
        <w:spacing w:line="480" w:lineRule="auto"/>
        <w:ind w:firstLine="1440"/>
        <w:jc w:val="both"/>
      </w:pPr>
      <w:r>
        <w:t xml:space="preserve">(2)</w:t>
      </w:r>
      <w:r xml:space="preserve">
        <w:t> </w:t>
      </w:r>
      <w:r xml:space="preserve">
        <w:t> </w:t>
      </w:r>
      <w:r>
        <w:t xml:space="preserve">any person who resides in that parent's household or who is permitted by that parent to have unsupervised access to the child during that parent's periods of possession of or access to the child.</w:t>
      </w:r>
    </w:p>
    <w:p w:rsidR="003F3435" w:rsidRDefault="0032493E">
      <w:pPr>
        <w:spacing w:line="480" w:lineRule="auto"/>
        <w:ind w:firstLine="720"/>
        <w:jc w:val="both"/>
      </w:pPr>
      <w:r>
        <w:t xml:space="preserve">(f)</w:t>
      </w:r>
      <w:r xml:space="preserve">
        <w:t> </w:t>
      </w:r>
      <w:r xml:space="preserve">
        <w:t> </w:t>
      </w:r>
      <w:r>
        <w:t xml:space="preserve">In determining under this section whether there is credible evidence of a history or pattern of past or present child neglect or abuse or family violence by a parent or other person, as applicable, the court shall consider whether a protective order was rendered under Chapter 85, Title 4, against the parent or other person during the two-year period preceding the filing of the suit or during the pendency of the suit.</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"Abuse" and "neglect" have the meanings assigned by Section 261.001.</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71.004.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suit affecting the parent-child relationship filed on or after the effective date of this Act. 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