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88R14449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adult education pilot program for certain inmates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12.255,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(c) or any other law and in addition to the number of charters allowed under this section and Subchapter D, the commissioner, on the basis of submitted proposals, shall grant a charter to a nonprofit entity described by Section 12.256 to provide an adult education program to inmates under the pilot program established under Section 493.035,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ADULT EDUCATION PILOT PROGRAM.  (a) </w:t>
      </w:r>
      <w:r>
        <w:rPr>
          <w:u w:val="single"/>
        </w:rPr>
        <w:t xml:space="preserve"> </w:t>
      </w:r>
      <w:r>
        <w:rPr>
          <w:u w:val="single"/>
        </w:rPr>
        <w:t xml:space="preserve">The department shall establish a pilot program under which one or more nonprofit entities provide an adult education program under Subchapter G, Chapter 12, Education Code, to enable inmates described by Subsection (b) to successfully complete: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school program that can lead to a diploma;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career and technology education courses that can lead to industry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inmate who is at least 26 years of age and not more than 50 years of age is eligible to enroll in an adult education program operated under the pilot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failed to complete the curriculum requirements for high school graduation;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failed to perform satisfactorily on an assessment instrument required for high school graduation;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approves the inmate's enrollment in the program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assessing the inmate's suitability for participation in the program using the results of the risk and needs assessment instrument adopted under Section 501.0921;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evaluating the inmate's conduct while in the custody of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admitting inmates to an adult education program operated under the pilot program, the nonprofit entity shall give priority to an inmate who has not earned a high school equivalency certificate.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issue a request for proposals from nonprofit entities described by Section 12.256, Education Code, to provide an adult education program under the pilot program.  The department shall require that each applicant identify in the applicant's proposal each region of this state in which the applicant is able to operate an adult education program under the pilot program.</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contract with at least one qualified applicant to operate an adult education program under the pilot program.</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in consultation with each nonprofit entity that the department contracts with under this section, shall identify at least three and not more than five facilities operated by the department that are suitable to serve as sites for the pilot program.</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 the Texas Department of Criminal Justice shall establish and implement the pilot program required by Section 493.035,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