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88R10961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inclusion of the National Sexual Assault Hotline on certain student identification cards issued by a public institution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51.91941,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51.91941.</w:t>
      </w:r>
      <w:r xml:space="preserve">
        <w:t> </w:t>
      </w:r>
      <w:r xml:space="preserve">
        <w:t> </w:t>
      </w:r>
      <w:r>
        <w:t xml:space="preserve">SUICIDE PREVENTION </w:t>
      </w:r>
      <w:r>
        <w:rPr>
          <w:u w:val="single"/>
        </w:rPr>
        <w:t xml:space="preserve">AND SEXUAL ASSAULT</w:t>
      </w:r>
      <w:r>
        <w:t xml:space="preserve"> INFORMATION REQUIRED ON STUDENT IDENTIFICATION CARD.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51.91941(b),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student identification card issued by an institution of higher education: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have printed on the card the contact information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National Suicide Prevention Lifeline;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Crisis Text Line;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National Sexual Assault Hotline;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have printed on the card the contact information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campus police department or security for the campus at which the student to whom the card is issued regularly attends classes or, if the campus does not have a campus police department or security, a local nonemergency police contact;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campus health clinic for the campus at which the student to whom the card is issued regularly attends classes or, if the campus does not have a health clinic, a local health clinic;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local suicide prevention hotline, if available.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51.91941(b), Education Code, as amended by this Act, applies only to a student identification card issued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