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88R8902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for grants under programs of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5.124(f),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grant may be made by direct award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executive director determines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selection of recipients by the solicitation of proposals or applications is not feasible;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awarding the grant directly is in the best interest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eligibility for the grant is limited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agency or political subdivision of this state or of another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institution of higher learning of this state or of another state, including any part or service of the institution;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agency of the United States;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organization that conducts research and field work for the same purposes as those of the grant;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grant is awarded to a person established or authorized to develop or implement a comprehensive conservation and management plan under Section 320, Federal Water Pollution Control Act (33 U.S.C. Section 1330), for a national estuary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