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22,</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11,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manner of executing certain anatomical gift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w:t>
      </w:r>
      <w:r>
        <w:rPr>
          <w:u w:val="single"/>
        </w:rPr>
        <w:t xml:space="preserve">or (b-1)</w:t>
      </w:r>
      <w:r>
        <w:t xml:space="preserve">.</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692A.004 may make a gift by a donor card or other record signed by the donor or other person making the gift or by authorizing that a statement or symbol indicating the donor has made an anatomical gift be included on a donor registry. </w:t>
      </w:r>
      <w:r>
        <w:t xml:space="preserve">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donor or other person authorized to make an anatomical gift under Section 692A.004 may make a gift through an online registry. </w:t>
      </w:r>
      <w:r>
        <w:rPr>
          <w:u w:val="single"/>
        </w:rPr>
        <w:t xml:space="preserve"> </w:t>
      </w:r>
      <w:r>
        <w:rPr>
          <w:u w:val="single"/>
        </w:rPr>
        <w:t xml:space="preserve">The online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legal document under this chapter that remains binding after the donor's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692A.007(b),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692,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692A.005, 692A.006, and 692A.007, Health and Safety Code, as amended by this Act, apply only to the validity of a record executed on or after the effective date of this Act.  The validity of a record executed before the effective date of this Act is governed by the law in effect on the date the record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document executed on or after the effective date of this Act. </w:t>
      </w:r>
      <w:r>
        <w:t xml:space="preserve"> </w:t>
      </w:r>
      <w:r>
        <w:t xml:space="preserve">A document executed before the effective date of this Act is governed by the law on the date the document was executed,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