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fees, charges, and rates for professional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32.028(b),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fee, charge, or rate for a professional service is the usual and customary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fee </w:t>
      </w:r>
      <w:r>
        <w:rPr>
          <w:u w:val="single"/>
        </w:rPr>
        <w:t xml:space="preserve">the provider predominantly charges the general public for the same or similar service;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charge [</w:t>
      </w:r>
      <w:r>
        <w:rPr>
          <w:strike/>
        </w:rPr>
        <w:t xml:space="preserve">,</w:t>
      </w:r>
      <w:r>
        <w:t xml:space="preserve">] or </w:t>
      </w:r>
      <w:r>
        <w:rPr>
          <w:u w:val="single"/>
        </w:rPr>
        <w:t xml:space="preserve">commercial</w:t>
      </w:r>
      <w:r>
        <w:t xml:space="preserve"> rate that prevails in the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