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88R6699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2189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Medicaid reimbursement rates for certain ground ambulance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32.028, Human Resources Code, is amended by adding Subsection (o) to read as follows:</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The executive commissioner shall ensure that the rules governing the determination of medical assistance reimbursement rates paid to a provider for providing ground ambulance services are at least equal to the rates paid under Medicare for providing ground ambulance services originating in a rural area.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533.005, Government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addition to the requirements specified by Subsection (a), a contract described by that subsection must require a managed care organization to reimburse a provider who is in the organization's provider network and who provides ground ambulance services at a rate that is at least equal to the rate paid under Medicare for the provision of ground ambulance services originating in a rural area.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Health and Human Services Commission shall, in a contract between the commission and a managed care organization under Chapter 533, Government Code, that is entered into or renewed on or after the effective date of this Act,  require that the managed care organization comply with Section 533.005(f), Government Code, as added by this Act.</w:t>
      </w:r>
    </w:p>
    <w:p w:rsidR="003F3435" w:rsidRDefault="0032493E">
      <w:pPr>
        <w:spacing w:line="480" w:lineRule="auto"/>
        <w:ind w:firstLine="720"/>
        <w:jc w:val="both"/>
      </w:pPr>
      <w:r>
        <w:t xml:space="preserve">(b)</w:t>
      </w:r>
      <w:r xml:space="preserve">
        <w:t> </w:t>
      </w:r>
      <w:r xml:space="preserve">
        <w:t> </w:t>
      </w:r>
      <w:r>
        <w:t xml:space="preserve">The Health and Human Services Commission shall seek to amend contracts entered into with managed care organizations  under Chapter 533, Government Code, before the effective date of this Act to require those managed care organizations to comply with Section 533.005(f), Government Code, as added by this Act.  To the extent of a conflict between Section 533.005(f), Government Code, as added by this Act, and a provision of a contract with a managed care organization entered into before the effective date of this Act, the contract provision prevails.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