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w:t>
      </w:r>
      <w:r xml:space="preserve">
        <w:tab wTab="150" tlc="none" cTlc="0"/>
      </w:r>
      <w:r>
        <w:t xml:space="preserve">S.B.</w:t>
      </w:r>
      <w:r xml:space="preserve">
        <w:t> </w:t>
      </w:r>
      <w:r>
        <w:t xml:space="preserve">No.</w:t>
      </w:r>
      <w:r xml:space="preserve">
        <w:t> </w:t>
      </w:r>
      <w:r>
        <w:t xml:space="preserve">2196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9,</w:t>
      </w:r>
      <w:r xml:space="preserve">
        <w:t> </w:t>
      </w:r>
      <w:r>
        <w:t xml:space="preserve">2023; March</w:t>
      </w:r>
      <w:r xml:space="preserve">
        <w:t> </w:t>
      </w:r>
      <w:r>
        <w:t xml:space="preserve">22,</w:t>
      </w:r>
      <w:r xml:space="preserve">
        <w:t> </w:t>
      </w:r>
      <w:r>
        <w:t xml:space="preserve">2023, read first time and referred to Committee on Natural Resources &amp; Economic Development;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2196</w:t>
      </w:r>
      <w:r xml:space="preserve">
        <w:tab wTab="150" tlc="none" cTlc="0"/>
      </w:r>
      <w:r>
        <w:t xml:space="preserve">By:</w:t>
      </w:r>
      <w:r xml:space="preserve">
        <w:t> </w:t>
      </w:r>
      <w:r xml:space="preserve">
        <w:t> </w:t>
      </w:r>
      <w:r>
        <w:t xml:space="preserve">Zaffirini</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bureau may accept gifts, grants, and donations from sources other than the state for the purpose of implementing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University of Texas Bureau of Economic Geology is required to implement a provision of this Act only if the legislature appropriates money specifically for that purpose.  If the legislature does not appropriate money specifically for that purpose, the bureau may, but is not required to, implement a provision of this Act using other money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