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88R11276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Blanco</w:t>
      </w:r>
      <w:r xml:space="preserve">
        <w:tab wTab="150" tlc="none" cTlc="0"/>
      </w:r>
      <w:r>
        <w:t xml:space="preserve">S.B.</w:t>
      </w:r>
      <w:r xml:space="preserve">
        <w:t> </w:t>
      </w:r>
      <w:r>
        <w:t xml:space="preserve">No.</w:t>
      </w:r>
      <w:r xml:space="preserve">
        <w:t> </w:t>
      </w:r>
      <w:r>
        <w:t xml:space="preserve">2202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assessment of the condition of certain water utilities.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6, Water Code, is amended by adding Section 6.116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6.116.</w:t>
      </w:r>
      <w:r>
        <w:rPr>
          <w:u w:val="single"/>
        </w:rPr>
        <w:t xml:space="preserve"> </w:t>
      </w:r>
      <w:r>
        <w:rPr>
          <w:u w:val="single"/>
        </w:rPr>
        <w:t xml:space="preserve"> </w:t>
      </w:r>
      <w:r>
        <w:rPr>
          <w:u w:val="single"/>
        </w:rPr>
        <w:t xml:space="preserve">WATER ACCESS ASSESSMENT. </w:t>
      </w:r>
      <w:r>
        <w:rPr>
          <w:u w:val="single"/>
        </w:rPr>
        <w:t xml:space="preserve"> </w:t>
      </w:r>
      <w:r>
        <w:rPr>
          <w:u w:val="single"/>
        </w:rPr>
        <w:t xml:space="preserve">(a)  In this section:</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"Access assessment" means the water access assessment established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"Utility" means a retail public utility, as defined by Section 13.002.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by rule and in consultation with the commission, the Public Utilities Commission of Texas, and institutions of higher education, as defined by Section 61.003, Education Code, shall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water access assessment to determine the extent of water access needs among utilities in this state;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schedule that ensures that an access assessment is conducted not less than once every 10 years for each utility.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access assessment must identify utilities that are failing or at risk of failing through a ranking system that evaluates and assigns numerical values to factors including:</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overall condition of the utility's  infrastructure,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utility system's age;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presence of lead service lines;</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presence of cast-iron pipes more than 30 years old;</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utility's rates of water loss;</w:t>
      </w:r>
      <w:r>
        <w:t xml:space="preserve"> </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number of interconnections to other systems;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susceptibility to extreme weather;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availability of water to the utility, including the utility's: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number of water sources;</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drought and water shortage risk;</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groundwater production sustainability;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reliance on bottled or hauled water;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quality of the utility's water, including whether the utility has any drinking water quality standard violations;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affordability of services the utility provides, as determined by:</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median income of households the utility serves;</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average monthly amount the utility bills to its customers relative to the average monthly billing amounts among similarly sized utilities;</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rural areas the utility serves;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disadvantaged areas the utility serves; and</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financial, managerial, and technical capacity of the utility as indicated by factors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certification violations of the utility's operators;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utility's monitoring and reporting violations;</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utility's absence of a qualified workforce;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ratio of the utility's revenues to its operating expenses.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each utility that an access assessment identifies as failing or at risk of failing, the board shall send notice of the identification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utility;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Public Utility Commission of Texas;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each standing committee of the legislature with primary jurisdiction over the board.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shall make available on its Internet website the result of an access assessment performed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implementing this section, the board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consult with the commission and the Public Utility Commission of Texas in the development of category risk factors,  associated rankings of factors, and the development of scoring thresholds for identifying utilities that are failing or at risk of failing;</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reevaluate the risk factors and the factors' associated numerical values every two years;</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enter into a memorandum of understanding with the commission, the Public Utility Commission of Texas, and the Department of State Health Services for the open transfer and sharing of utilities' data, including critical infrastructure data;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contract or otherwise partner with an institution of higher education for the purposes of conducting a water access assessment.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