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88R2816 MLH-F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2204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exceptions to prohibited contracts or other agreements with certain foreign-owned companies in connection with critical infrastructure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113.001, Business &amp; Commerce Code, as added by Chapter 975 (S.B. 2116), Acts of the 87th Legislature, Regular Session, 2021, is amended by adding Subdivision (5)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"Utility services" means telecommunication, electric, water, or wastewater services provided to a customer, and includes: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demand response, load resource, net metering, and similar electric service programs;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transmission voltage and distribution voltage electric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113.002, Business &amp; Commerce Code, as added by Chapter 975 (S.B. 2116), Acts of the 87th Legislature, Regular Session, 2021, is amended by adding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Subsection (a) does not apply to an agreement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provide utility services to a company described by Subsection (a)(2);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construct, operate, or maintain infrastructure to provide utility services to a company described by Subsection (a)(2).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2274.0101, Government Code, is amended by adding Subdivision (6)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"Utility services" means telecommunication, electric, water, or wastewater services provided to a customer, and includes: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demand response, load resource, net metering, and similar electric service programs;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transmission voltage and distribution voltage electric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2274.0102, Government Code, is amended by adding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Subsection (a) does not apply to an agreement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provide utility services to a company described by Subsection (a)(2);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construct, operate, or maintain infrastructure to provide utility services to a company described by Subsection (a)(2).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Section 113.002(c), Business &amp; Commerce Code, as added by this Act, and Section 2274.0102(c), Government Code, as added by this Act, apply only to a contract or agreement entered into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6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2204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