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2208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22,</w:t>
      </w:r>
      <w:r xml:space="preserve">
        <w:t> </w:t>
      </w:r>
      <w:r>
        <w:t xml:space="preserve">2023, read first time and referred to Committee on State Affairs; April</w:t>
      </w:r>
      <w:r xml:space="preserve">
        <w:t> </w:t>
      </w:r>
      <w:r>
        <w:t xml:space="preserve">18,</w:t>
      </w:r>
      <w:r xml:space="preserve">
        <w:t> </w:t>
      </w:r>
      <w:r>
        <w:t xml:space="preserve">2023, reported favorably by the following vote:</w:t>
      </w:r>
      <w:r>
        <w:t xml:space="preserve"> </w:t>
      </w:r>
      <w:r>
        <w:t xml:space="preserve"> </w:t>
      </w:r>
      <w:r>
        <w:t xml:space="preserve">Yeas 7, Nays 3;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venue for the prosecution of an election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13.41.</w:t>
      </w:r>
      <w:r>
        <w:rPr>
          <w:u w:val="single"/>
        </w:rPr>
        <w:t xml:space="preserve"> </w:t>
      </w:r>
      <w:r>
        <w:rPr>
          <w:u w:val="single"/>
        </w:rPr>
        <w:t xml:space="preserve"> </w:t>
      </w:r>
      <w:r>
        <w:rPr>
          <w:u w:val="single"/>
        </w:rPr>
        <w:t xml:space="preserve">ELECTION OFFENSES.  (a)  An offense classified as a felony under the Election Code, or a felony offense otherwise related to an election conducted in this state, may be prosecuted in a judicial district adjoining the judicial district in which the offense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classified as a misdemeanor under the Election Code, or a misdemeanor offense otherwise related to an election conducted in this state, may be prosecuted in a county adjoining the county in which the offense occurred.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of law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of law occurred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