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88R26743 DRS-F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Hancock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2209</w:t>
      </w:r>
    </w:p>
    <w:p w:rsidR="003F3435" w:rsidRDefault="0032493E">
      <w:pPr>
        <w:ind w:firstLine="720"/>
        <w:jc w:val="both"/>
      </w:pPr>
      <w:r>
        <w:t xml:space="preserve">(Holland)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2209: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</w:t>
      </w:r>
      <w:r xml:space="preserve">
        <w:tab wTab="150" tlc="none" cTlc="0"/>
      </w:r>
      <w:r>
        <w:t xml:space="preserve">C.S.S.B.</w:t>
      </w:r>
      <w:r xml:space="preserve">
        <w:t> </w:t>
      </w:r>
      <w:r>
        <w:t xml:space="preserve">No.</w:t>
      </w:r>
      <w:r xml:space="preserve">
        <w:t> </w:t>
      </w:r>
      <w:r>
        <w:t xml:space="preserve">2209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provisions governing the municipal civil service of fire fighters or police officers in certain municipalities.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143.003, Local Government Code, is amended by amending Subdivision (1) and adding Subdivision (1-a)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"Civilian oversight board" means a board or office established by a municipality to practice oversight, monitoring, or investigations of fire fighters or police officers, or departments, by members of the public who are not fire fighters or police officers.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(1-a)</w:t>
      </w:r>
      <w:r xml:space="preserve">
        <w:t> </w:t>
      </w:r>
      <w:r xml:space="preserve">
        <w:t> </w:t>
      </w:r>
      <w:r>
        <w:t xml:space="preserve">"Commission" means the Fire Fighters' and Police Officers' Civil Service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143, Local Government Code, is amended by adding Section 143.017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143.017.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INVESTIGATION BY CIVILIAN OVERSIGHT BOARD PROHIBITED.  An investigation under this chapter may not be performed by a civilian oversight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143.089(b) and (f), Local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letter, memorandum, or document relating to alleged misconduct by the fire fighter or police officer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may not be placed in the person's personnel file if the employing department determines that there is insufficient evidence to sustain the charge of misconduct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Section 1701.451, Occupations Code, may not be released to any agency or person requesting the letter, memorandum, or document if there is a pending investigation into the alleged misconduct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director or the director's designee may not release any information contained in a fire fighter's or police officer's personnel file without first obtaining the person's written permission, unless the release of the information is required by law </w:t>
      </w:r>
      <w:r>
        <w:rPr>
          <w:u w:val="single"/>
        </w:rPr>
        <w:t xml:space="preserve">or for a law enforcement purpose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143, Local Government Code, is amended by adding Sections 143.091 and 143.092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143.091.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MUTUAL AGREEMENT SUPERSEDES CERTAIN MUNICIPAL LAW.  For a municipality with a collective bargaining agreement or a meet-and-confer agreement with the municipality's fire department or police department, the agreement supersedes an ordinance, executive order, or rule adopted by the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143.092.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ELIGIBILITY FOR CIVILIAN OVERSIGHT BOARD.  A person is not eligible to serve on a civilian oversight board if the person has been: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convicted of or placed on deferred adjudication community supervision for a felony offense;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convicted of a crime of moral turpitude.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143.306, Local Government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 charter, ordinance, executive order, or rule adopted by a municipality that restricts or conditions the authority of a public employer to enter into a written agreement under this subchapter is void and unenforceable.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143.091, Local Government Code, as added by this Act, applies to a collective bargaining agreement or a meet-and-confer agreement that was in effect on or after January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2209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