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2;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2209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disclosure of information in department files of fire fighters or police officers and civilian oversight boards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143.003, Local Government Code, is amended by amending Subdivision (1)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"Civilian oversight board" means a board established by a municipality to practice oversight, monitoring, or investigations of fire fighters or police officers or departments.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"Commission" means the Fire Fighters' and Police Officers' Civil Service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143, Local Government Code, is amended by adding Section 143.017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INVESTIGATION BY CIVILIAN OVERSIGHT BOARD PROHIBITED.  An investigation under this chapter may not be performed by a civilian oversight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143.089(b) and (f),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letter, memorandum, or document relating to alleged misconduct by the fire fighter or police officer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may not be placed in the person's personnel file if the employing department determines that there is insufficient evidence to sustain the charge of misconduct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Section 1701.451, Occupations Code, may not be released to any agency or person requesting the letter, memorandum, or document if there is a pending investigation into the alleged misconduct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director or the director's designee may not release any information contained in a fire fighter's or police officer's personnel file without first obtaining the person's written permission, unless the release of the information is required by law </w:t>
      </w:r>
      <w:r>
        <w:rPr>
          <w:u w:val="single"/>
        </w:rPr>
        <w:t xml:space="preserve">or for a law enforcement purpose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143, Local Government Code, is amended by adding Sections 143.091 and 143.092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MUTUAL AGREEMENT SUPERSEDES CERTAIN MUNICIPAL LAW.  For a municipality with a collective bargaining agreement or a meet-and-confer agreement  with the municipality's fire department or police department, the agreement supersedes an ordinance, executive order, or rule adopted by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FOR CIVILIAN OVERSIGHT BOARD.  A person is not eligible to serve on a civilian oversight board if the person has been: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convicted of or placed on deferred adjudication community supervision for a felony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convicted of a crime of moral turpitude.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143.091, Local Government Code, as added by this Act, applies to a collective bargaining agreement or a meet-and-confer agreement that was in effect on or after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