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Menéndez, 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2220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and local government corporations to use certain tax revenue for certain qualified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351.1015(a)(5),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"Qualified project"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convention center facility </w:t>
      </w:r>
      <w:r>
        <w:rPr>
          <w:u w:val="single"/>
        </w:rPr>
        <w:t xml:space="preserve">or venue and any related infrastructure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multipurpose arena or venue that includes a livestock facility and is located within or adjacent to a recognized cultural district, and any related infrastructure, that 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located on land owned by a municipality or by the owner of the venue;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partially financed by private contributions that equal not less than 40 percent of the project costs;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related to the promotion of tourism and the convention and hotel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351.1015, Tax Code, is amended by amending Subsection (b) and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qualified project located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municipality with a population of at least 650,000 but less than 750,000 according to the most recent federal decennial census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contains more than 70 percent of the population of a county with a population of 1.5 million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government corporation may act as a municipality under this section and is considered to be a municipality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