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2220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certain municipalities and local government corporations to use certain tax revenue for certain qualified projects.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351.1015(a)(5), Tax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"Qualified project" means: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convention center facility </w:t>
      </w:r>
      <w:r>
        <w:rPr>
          <w:u w:val="single"/>
        </w:rPr>
        <w:t xml:space="preserve">or venue and any related infrastructure</w:t>
      </w:r>
      <w:r>
        <w:t xml:space="preserve">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multipurpose arena or venue that includes a livestock facility and is located within or adjacent to a recognized cultural district, and any related infrastructure, that is: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located on land owned by a municipality or by the owner of the venue;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partially financed by private contributions that equal not less than 40 percent of the project costs;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related to the promotion of tourism and the convention and hotel industry.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351.1015, Tax Code, is amended by amending Subsection (b) and adding Subsections (j) and (k)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section applies only to a qualified project located in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a municipality with a population of at least 650,000 but less than 750,000 according to the most recent federal decennial census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that contains more than 70 percent of the population of a county with a population of 1.5 million or more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(j)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local government corporation may act as a municipality under this section and is considered to be a municipality for purposes of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(k)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a municipality described by Subsection (b)(2), the term "qualified project" means only a convention center facility or a venue described by Section 334.001(4)(A), Local Government Code, and any related infrastructure.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</w:pPr>
      <w:r>
        <w:t xml:space="preserve">______________________________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2220 passed the Senate on May</w:t>
      </w:r>
      <w:r xml:space="preserve">
        <w:t> </w:t>
      </w:r>
      <w:r>
        <w:t xml:space="preserve">2,</w:t>
      </w:r>
      <w:r xml:space="preserve">
        <w:t> </w:t>
      </w:r>
      <w:r>
        <w:t xml:space="preserve">2023, by the following vote:  Yeas</w:t>
      </w:r>
      <w:r xml:space="preserve">
        <w:t> </w:t>
      </w:r>
      <w:r>
        <w:t xml:space="preserve">26, Nays</w:t>
      </w:r>
      <w:r xml:space="preserve">
        <w:t> </w:t>
      </w:r>
      <w:r>
        <w:t xml:space="preserve">5; and that the Senate concurred in House amendment on May</w:t>
      </w:r>
      <w:r xml:space="preserve">
        <w:t> </w:t>
      </w:r>
      <w:r>
        <w:t xml:space="preserve">25, 2023,</w:t>
      </w:r>
      <w:r xml:space="preserve">
        <w:t> </w:t>
      </w:r>
      <w:r>
        <w:t xml:space="preserve">by the following vote:  Yeas</w:t>
      </w:r>
      <w:r xml:space="preserve">
        <w:t> </w:t>
      </w:r>
      <w:r>
        <w:t xml:space="preserve">26, Nays</w:t>
      </w:r>
      <w:r xml:space="preserve">
        <w:t> </w:t>
      </w:r>
      <w:r>
        <w:t xml:space="preserve">5.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2220 passed the House, with amendment, on May</w:t>
      </w:r>
      <w:r xml:space="preserve">
        <w:t> </w:t>
      </w:r>
      <w:r>
        <w:t xml:space="preserve">23,</w:t>
      </w:r>
      <w:r xml:space="preserve">
        <w:t> </w:t>
      </w:r>
      <w:r>
        <w:t xml:space="preserve">2023, by the following vote:  Yeas</w:t>
      </w:r>
      <w:r xml:space="preserve">
        <w:t> </w:t>
      </w:r>
      <w:r>
        <w:t xml:space="preserve">98, Nays</w:t>
      </w:r>
      <w:r xml:space="preserve">
        <w:t> </w:t>
      </w:r>
      <w:r>
        <w:t xml:space="preserve">41, two</w:t>
      </w:r>
      <w:r xml:space="preserve">
        <w:t> </w:t>
      </w:r>
      <w:r>
        <w:t xml:space="preserve">present</w:t>
      </w:r>
      <w:r xml:space="preserve">
        <w:t> </w:t>
      </w:r>
      <w:r>
        <w:t xml:space="preserve">not</w:t>
      </w:r>
      <w:r xml:space="preserve">
        <w:t> </w:t>
      </w:r>
      <w:r>
        <w:t xml:space="preserve">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2220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