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2220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municipalities and local government corporations to use certain tax revenue for certain qualified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1.</w:t>
      </w:r>
      <w:r xml:space="preserve">
        <w:t> </w:t>
      </w:r>
      <w:r xml:space="preserve">
        <w:t> </w:t>
      </w:r>
      <w:r>
        <w:t xml:space="preserve">Section 351.1015, Tax Code, is amended by amending Subsection (a)(5)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"Qualified project"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convention center facility</w:t>
      </w:r>
      <w:r>
        <w:rPr>
          <w:u w:val="single"/>
        </w:rPr>
        <w:t xml:space="preserve"> or venue</w:t>
      </w:r>
      <w: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multipurpose arena or venue that includes a livestock facility and is located within or adjacent to a recognized cultural district, and any related infrastructure, that is: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located on land owned by a municipality or by the owner of the venue;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partially financed by private contributions that equal not less than 40 percent of the project costs;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related to the promotion of tourism and the convention and hotel industry.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2.</w:t>
      </w:r>
      <w:r xml:space="preserve">
        <w:t> </w:t>
      </w:r>
      <w:r xml:space="preserve">
        <w:t> </w:t>
      </w:r>
      <w:r>
        <w:t xml:space="preserve">Section 351.1015, Tax Code, is amended by amending Subsection (b) and adding a new Subsection (j)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applies only to a qualified project located in a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>
        <w:t xml:space="preserve">municipality with a population of at least 650,000 but less than 750,000 according to the most recent federal decennial census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municipality with a population of at least 1,400,000  in which is located a convention center with at least 400,000  useable square feet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government corporation may act as a municipality under this section and is considered to be a municipality for purposes of this section. An action a municipality is required to  take by ordinance or order under this section may be taken by order  or resolution of the corporation.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