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2225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Students with Disabilities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STUDENTS WITH DISABILITIES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Students with Disabilities Scholarship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PROGRAM PURPOSE.  The purpose of the Texas Students with Disabilities Scholarship Program is to provide assistance in the payment of tuition and mandatory fees to enable eligible students to attend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AWARD OF SCHOLARSHIP.  (a)  The coordinating board shall administer the program and adopt any rules necessary to implement the program or this subchapter.  The coordinating board shall consult with the student financial aid officers of institutions of higher education and a representative from at least one of the University Centers for Excellence in Developmental Disabilities in this state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scholarship to each eligible student under the program, as provided by Section 56.527.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by rule shall develop a disability affidavit form that may be used to establish that a student has a disability for purposes of Section 56.524(a)(6) based on a diagnosis by a licensed physician or other documentation determined appropriate by the coordinating board.  In developing  the disability affidavit form in a manner that ensures the form properly verifies that a person has a disability, the coordinating board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University Centers for Excellence in Developmental Disabilities program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statewide, cross-disability advocacy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SCHOLARSHIP.  (a)  To be eligible initially for a scholarship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as an entering student for at least one-quarter of a full course load for an entering student in the associate or baccalaureate degree or certificate program, as determined by the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applied for any available financial aid or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that the person has a disability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proof that 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person with a disability as defined by 42 U.S.C. Section 12102;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receives Supplemental Security Income (SSI) benefits under 42 U.S.C. Section 1381 et seq. on the basis of disability or blindness;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receives Social Security Disability Insurance (SSDI) benefits under 42 U.S.C. Section 401 et seq.;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qualifies for or is receiving vocational rehabilitation services provided through the Texas Workforce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unable to provide proof in accordance with Paragraph (A), completing a disability affidavit form developed in accordance with Section 56.523(c).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scholarship under the program if the person has completed more than the following number of semester credit hours or the equivalent at an institution of higher education, excluding semester credit hours or the equivalent earned for a dual credit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90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135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scholarship under the program for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scholarship under the program ends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the program to the person, if the person is enrolled in a degree or certificate program of two years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sixth anniversary of the initial award of a scholarship under the program to the person, if the person is enrolled in a degree or certificate program of more than two years but not more than four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eighth anniversary of the initial award of a scholarship under the program to the person, if the person is enrolled in a degree or certificate program of more than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scholarship under the program, a person may continue to receive a scholarship under the program during each semester or term in which the person is enrolled at an institution of higher education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one-quarter of a full course load for a student in an associate or baccalaureate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or baccalaureate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the program during the next semester or term in which the person enrolls.  A person may become eligible to receive a scholarship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or baccalaureate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 completes at least 25 percent of the semester credit hours or the equivalent attempted in the person's most recent academic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the program continues to remain eligible to receive the scholarship if the person enrolls in or transfers to another institution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scholarship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SCHOLARSHIP USE.  A scholarship awarded under the program must be applied first to the payment of tuition and mandatory fees at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SCHOLARSHIP AMOUNT.  (a)  The amount of a scholarship awarded to an eligible student under the program for a semester or other academic term in which the student is enrolled at an institution of higher education is an amount determined by the coordinating board under Subsection (b) based on the amount of funds available for distribution and the number of eligible applicants.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adopt rules and procedures for determining the amount of the scholarship for each academic year or during an academic year as necessary to respond to fluctuations in the amount of funds available for distribution.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scholarship award to a student who is enrolled in less than a full course load for a student in an associate or baccalaureate degree or certificate program, as determined by the coordinating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scholarship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NOTIFICATION OF PROGRAM; RESPONSIBILITIES OF SCHOOL DISTRICTS.  (a)  The coordinating board, in consultation with all institutions of higher education, shall prepare materials designed to inform prospective students, their parents, and high school counselors about the program and eligibility for a scholarship under the program.  The coordinating board shall distribute to each institution of higher education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T, Chapter 56, Education Code, as added by this Act, as soon as practicable after the effective date of this Act.  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T, Chapter 56, Education Code, as added by this Act, for the first academic year for which money is appropriated for that purpose, except that the coordinating board may not award scholarships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