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2227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list of retired and former judges subject to assignment.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Sec. 74.055 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 </w:t>
      </w:r>
      <w:r>
        <w:t xml:space="preserve"> </w:t>
      </w:r>
      <w:r>
        <w:t xml:space="preserve">Each presiding judge shall maintain a list of retired and former judges who meet the requirements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 </w:t>
      </w:r>
      <w:r>
        <w:t xml:space="preserve"> </w:t>
      </w:r>
      <w:r>
        <w:t xml:space="preserve">The presiding judge shall divide the list into area specialties of criminal, civil, or domestic relations cases. A retired or former judge may only be assigned to a case in the judge's area of specialty. </w:t>
      </w:r>
      <w:r>
        <w:t xml:space="preserve"> </w:t>
      </w:r>
      <w:r>
        <w:t xml:space="preserve">A judge may qualify for assignment in more than one area of specialty.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 </w:t>
      </w:r>
      <w:r>
        <w:t xml:space="preserve"> </w:t>
      </w:r>
      <w:r>
        <w:t xml:space="preserve">To be eligible to be named on the list, a retired or former judge must: </w:t>
      </w:r>
    </w:p>
    <w:p w:rsidR="003F3435" w:rsidRDefault="0032493E">
      <w:pPr>
        <w:spacing w:line="480" w:lineRule="auto"/>
        <w:ind w:firstLine="720"/>
        <w:jc w:val="both"/>
      </w:pPr>
      <w:r>
        <w:t xml:space="preserve">(1) </w:t>
      </w:r>
      <w:r>
        <w:t xml:space="preserve"> </w:t>
      </w:r>
      <w:r>
        <w:t xml:space="preserve">have served as an active judge for at least 96 months in a district, statutory probate, statutory county, </w:t>
      </w:r>
      <w:r>
        <w:rPr>
          <w:strike/>
        </w:rPr>
        <w:t xml:space="preserve">or</w:t>
      </w:r>
      <w:r>
        <w:t xml:space="preserve"> appellate court, </w:t>
      </w:r>
      <w:r>
        <w:rPr>
          <w:u w:val="single"/>
        </w:rPr>
        <w:t xml:space="preserve">constitutional county or justice of the peace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2.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