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88R13207 DIO-F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 Blanco</w:t>
      </w:r>
      <w:r xml:space="preserve">
        <w:tab wTab="150" tlc="none" cTlc="0"/>
      </w:r>
      <w:r>
        <w:t xml:space="preserve">S.B.</w:t>
      </w:r>
      <w:r xml:space="preserve">
        <w:t> </w:t>
      </w:r>
      <w:r>
        <w:t xml:space="preserve">No.</w:t>
      </w:r>
      <w:r xml:space="preserve">
        <w:t> </w:t>
      </w:r>
      <w:r>
        <w:t xml:space="preserve">2231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teacher certification examinations in bilingual target language proficiency and to certification requirements for teachers in bilingual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29.061, Education Code, is amended by adding Subsections (b-3), (b-4), and (b-5) to read as follows:</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For a bilingual target language proficiency  certification examination prescribed under Section 21.048(a), the commissioner shall adopt satisfactory levels of performance differentiated for each grade level based on the level of language proficiency required to teach that language in a bilingual education program at that grade level. An educator preparation program may not be penalized under Section 21.045 for a candidate who meets the lowest satisfactory level of performance adopted under this subsection on a bilingual target language proficiency certification examination, regardless of the grade level for which the candidate was seeking certification.</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Except as provided by Subsection (b-5), a teacher may only be assigned to a bilingual education program, or, for a bilingual education program described by Subsection (b-1), for the component of the program provided in a language other than English, 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grade level for which the teacher has achieved on the applicable bilingual target language proficiency certification examination the satisfactory level of performance for that grade level adopted by the commissioner under Subsection (b-3);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grade level below the grade level described by Subdivision (1).</w:t>
      </w:r>
    </w:p>
    <w:p w:rsidR="003F3435" w:rsidRDefault="0032493E">
      <w:pPr>
        <w:spacing w:line="480" w:lineRule="auto"/>
        <w:ind w:firstLine="720"/>
        <w:jc w:val="both"/>
      </w:pPr>
      <w:r>
        <w:rPr>
          <w:u w:val="single"/>
        </w:rPr>
        <w:t xml:space="preserve">(b-5)</w:t>
      </w:r>
      <w:r>
        <w:rPr>
          <w:u w:val="single"/>
        </w:rPr>
        <w:t xml:space="preserve"> </w:t>
      </w:r>
      <w:r>
        <w:rPr>
          <w:u w:val="single"/>
        </w:rPr>
        <w:t xml:space="preserve"> </w:t>
      </w:r>
      <w:r>
        <w:rPr>
          <w:u w:val="single"/>
        </w:rPr>
        <w:t xml:space="preserve">Notwithstanding Subsection (b-4), a teacher appropriately certified in bilingual education before January 1, 2024, may be assigned to a bilingual education program at any grade level.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commissioner of education shall adopt the satisfactory levels of performance as required by Section 29.061(b-3),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29.061(b-4), Education Code, as added by this Act, applies beginning with the 2024-2025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