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88R4022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digital textbook and learning materials subscription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61.0667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61.0667.</w:t>
      </w:r>
      <w:r>
        <w:rPr>
          <w:u w:val="single"/>
        </w:rPr>
        <w:t xml:space="preserve"> </w:t>
      </w:r>
      <w:r>
        <w:rPr>
          <w:u w:val="single"/>
        </w:rPr>
        <w:t xml:space="preserve"> </w:t>
      </w:r>
      <w:r>
        <w:rPr>
          <w:u w:val="single"/>
        </w:rPr>
        <w:t xml:space="preserve">DIGITAL TEXTBOOK AND LEARNING MATERIALS SUBSCRIPTION PILOT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textbook and learning materials subscription program" means a subscription program to a platform that includes unrestricted access to digital textbooks, study tools, online homework platforms, and other educational resources used to improve student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"Lower-division institution of higher education" means a public junior college, public state college, or public technical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 pilot program under which the board awards grants to participating lower-division institutions of higher education to provide financial assistance to eligible students for the cost of subscribing to the digital textbook and learning materials subscription program selected by the board under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select lower-division institutions of higher education to participate in the pilot program.  In selecting institutions, the board shall, to the extent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select institutions in both rural and urban areas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prioritize institutions with large socially and economically disadvantaged and historically underrepresented student populations.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participating lower-division institution of higher education must use grant funds awarded under this section to provide financial assistance to eligible students for all or part of the cost of subscribing to the digital textbook and learning materials subscription program selected by the board under Subsection (e).  The participating institution shall determine the eligibility criteria for a student to receive financial assistance under the pilot program and must prioritize providing financial assistance to economically disadvantaged students.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engage in a competitive bidding process to select the digital textbook and learning materials subscription to be used in the pilot program.  The subscription selected by the board must provide 24-hour technical support services to subscribers.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2026, the board shall prepare and deliver to the governor, the lieutenant governor, the speaker of the house of representatives, and the presiding officer of each legislative standing committee with primary jurisdiction over higher education a report that evaluates the effectiveness of the pilot program in improving student outcomes.  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the pilot program established under Section 61.0667,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and participating lower-division institutions of higher education shall award initial grants under Section 61.0667, Education Code, as added by this Act, beginning with the 2024 spring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