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88R11206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addressing abusive conduct in the workplace; creating a private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Subtitle A, Title 2, Labor Code, is amended to read as follows:</w:t>
      </w:r>
    </w:p>
    <w:p w:rsidR="003F3435" w:rsidRDefault="0032493E">
      <w:pPr>
        <w:spacing w:line="480" w:lineRule="auto"/>
        <w:jc w:val="center"/>
      </w:pPr>
      <w:r>
        <w:t xml:space="preserve">SUBTITLE A. EMPLOYMENT DISCRIMINATION </w:t>
      </w:r>
      <w:r>
        <w:rPr>
          <w:u w:val="single"/>
        </w:rPr>
        <w:t xml:space="preserve">AND ABUSIVE CONDUCT IN THE WORKPLACE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2, Labor Code, is amended by adding Chapter 24 to read as follows:</w:t>
      </w:r>
    </w:p>
    <w:p w:rsidR="003F3435" w:rsidRDefault="0032493E">
      <w:pPr>
        <w:spacing w:line="480" w:lineRule="auto"/>
        <w:jc w:val="center"/>
      </w:pPr>
      <w:r>
        <w:rPr>
          <w:u w:val="single"/>
        </w:rPr>
        <w:t xml:space="preserve">CHAPTER 24.  ABUSIVE CONDUCT IN WORKPLACE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"Abusive conduct" includes an act or omission that a reasonable person would find abusive based on the severity, nature, and frequency of the conduct.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repeated verbal abuse, including the use of derogatory remarks, insults, and epithets;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repeated verbal, nonverbal, or physical conduct of a threatening, intimidating, or humiliating nature;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repeated sabotage or undermining of an employee's work performance;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single act of abusive conduct that is especially severe and egregious.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"Abusive work environment" means a work environment in which an employer or an employee, acting with intent to cause pain or distress, subjects an employee to abusive conduct that causes physical harm or psychological harm.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"Adverse employment action" includes termination, demotion, unfavorable reassignment, failure to promote, disciplinary action, reduction in compensation, and constructive discharge.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"Constructive discharge" occurs when:</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reasonably believes the employee has been subjected to an abusive work environment;</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employee resigns because of the abusive work environment;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employer was aware of the abusive work environment before the employee resigns but failed to stop the abusive conduct.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"Physical harm" means the impairment of a person's physical health or bodily integrity, as established by competent evidence.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"Psychological harm" means the impairment of a person's mental health, as established by competent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24.002.</w:t>
      </w:r>
      <w:r>
        <w:rPr>
          <w:u w:val="single"/>
        </w:rPr>
        <w:t xml:space="preserve"> </w:t>
      </w:r>
      <w:r>
        <w:rPr>
          <w:u w:val="single"/>
        </w:rPr>
        <w:t xml:space="preserve"> </w:t>
      </w:r>
      <w:r>
        <w:rPr>
          <w:u w:val="single"/>
        </w:rPr>
        <w:t xml:space="preserve">UNLAWFUL EMPLOYMENT PRACTICES.  An employer commits an unlawful employment practice if the employer: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subjects an employee, or permits another employee to subject the employee, to an abusive work environment;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permits the constructive discharge of an employee;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retaliates in any manner against an employee who, under this chapter: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opposes an unlawful employment practice;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makes or files a charge;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files a complaint;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testifies, assists, or participates in any manner in an investigation, proceeding, or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24.003.</w:t>
      </w:r>
      <w:r>
        <w:rPr>
          <w:u w:val="single"/>
        </w:rPr>
        <w:t xml:space="preserve"> </w:t>
      </w:r>
      <w:r>
        <w:rPr>
          <w:u w:val="single"/>
        </w:rPr>
        <w:t xml:space="preserve"> </w:t>
      </w:r>
      <w:r>
        <w:rPr>
          <w:u w:val="single"/>
        </w:rPr>
        <w:t xml:space="preserve">EMPLOYER LIABILITY; DEFENSES.  (a) An employer is liable for an unlawful employment practice under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is vicariously liable for the abusive conduct of an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consider abusive conduct that exploits an employee's known psychological or physical illness or disability as an aggravating factor.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liability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employer did not take an adverse employment action against the complainant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 exercised reasonable care to prevent and promptly correct abusive conduct;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complainant unreasonably failed to take advantage of appropriate preventive or corrective opportunities provided by the employer;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employer took an adverse employment action against the complainant because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complainant's poor performance or misconduct;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employer's economic necessity, reasonable performance evaluation of the complainant, or reasonable investigation of the complainant's potentially illegal or unethical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24.004.</w:t>
      </w:r>
      <w:r>
        <w:rPr>
          <w:u w:val="single"/>
        </w:rPr>
        <w:t xml:space="preserve"> </w:t>
      </w:r>
      <w:r>
        <w:rPr>
          <w:u w:val="single"/>
        </w:rPr>
        <w:t xml:space="preserve"> </w:t>
      </w:r>
      <w:r>
        <w:rPr>
          <w:u w:val="single"/>
        </w:rPr>
        <w:t xml:space="preserve">EMPLOYEE LIABILITY; DEFENSE.  (a) An employee is individually liable for abusive conduct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consider abusive conduct that exploits an employee's known psychological or physical illness or disability as an aggravating factor.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liability that the employee committed the abusive conduct at the direction of the employer under actual or implied threat of an adverse employment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24.005.</w:t>
      </w:r>
      <w:r>
        <w:rPr>
          <w:u w:val="single"/>
        </w:rPr>
        <w:t xml:space="preserve"> </w:t>
      </w:r>
      <w:r>
        <w:rPr>
          <w:u w:val="single"/>
        </w:rPr>
        <w:t xml:space="preserve"> </w:t>
      </w:r>
      <w:r>
        <w:rPr>
          <w:u w:val="single"/>
        </w:rPr>
        <w:t xml:space="preserve">INJUNCTION; EQUITABLE RELIEF.  (a) On finding that a respondent engaged in an unlawful employment practice or abusive conduct as alleged in a complaint, a court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by injunction the respondent from engaging in an unlawful employment practice or abusive 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additional equitable relief as may be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Additional equitable relief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reinstating the complainant;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the party that engaged in abusive conduct from the complainant's work environment;</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back pay;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front pay;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medical expenses;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compensation for pain and suffering;</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compensation for emotional distress;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punitive damages;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who is liable for an unlawful employment practice under this chapter that does not include an adverse employment action is not liable for emotional distress damages and punitive damages unless the actionable conduct is extreme and outrageous.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24.006.</w:t>
      </w:r>
      <w:r>
        <w:rPr>
          <w:u w:val="single"/>
        </w:rPr>
        <w:t xml:space="preserve"> </w:t>
      </w:r>
      <w:r>
        <w:rPr>
          <w:u w:val="single"/>
        </w:rPr>
        <w:t xml:space="preserve"> </w:t>
      </w:r>
      <w:r>
        <w:rPr>
          <w:u w:val="single"/>
        </w:rPr>
        <w:t xml:space="preserve">PRIVATE RIGHT OF ACTION; LIMITATIONS.  (a) This chapter may only be enforced by a private right of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under this chapter must be commenced not later than the first anniversary of the last act that constitutes the alleged unlawful employment practice or abusive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24.007.</w:t>
      </w:r>
      <w:r>
        <w:rPr>
          <w:u w:val="single"/>
        </w:rPr>
        <w:t xml:space="preserve"> </w:t>
      </w:r>
      <w:r>
        <w:rPr>
          <w:u w:val="single"/>
        </w:rPr>
        <w:t xml:space="preserve"> </w:t>
      </w:r>
      <w:r>
        <w:rPr>
          <w:u w:val="single"/>
        </w:rPr>
        <w:t xml:space="preserve">EFFECT ON OTHER LEGAL RELATIONSHIPS.  (a) This chapter does not supersede rights and obligations provided under collective bargaining laws and regulations.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remedies provided in this chapter are in addition to any remedy provided under any other law. This chapter does not relieve any person from any liability, duty, penalty, or punishment provided by any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an employee's payments of workers' compensation shall be reimbursed from compensation paid under this chapter if an employee receives workers' compensation under this chapter and Subtitle A, Title 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medical costs for the same injury or illness;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cash payments for the same period the employee is not working as a result of the compensable injury or illness or the unlawful employment practice or abusive conduct.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