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88R8484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regarding certain residential and nonresidential services provided to individuals with an intellectual or developmental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In this Act, "commission" 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 Not later than December 1, 2024, the commission shall prepare and submit to the legislature a written report regarding state and federally-funded residential and nonresidential services provided: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the home and community-based services (HCS) waiver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under the Texas home living (TxHmL) waiver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by intermediate care facilities licensed under Chapter 252,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report required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analyze the average monthly cost to the state per person disaggregated by level of need for services provided to individuals: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residing in state-operated and privately operated intermediate care facilities licensed under Chapter 252, Health and Safety Code, disaggregated by facility size for privately operated facilities;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under the home and community-based services (HCS) waiver program;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under the Texas home living (TxHmL) waiver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compare the severity of need for individuals across settings;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include, based on data from the previous biennium: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total number of individuals, disaggregated by level of need, who transitioned from state-operated intermediate care facilities licensed under Chapter 252, Health and Safety Code, to receiving services under the home and community-based services (HCS) waiver program;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average monthly cost of services under the home and community-based services (HCS) waiver program for individuals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