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2258</w:t>
      </w:r>
    </w:p>
    <w:p w:rsidR="003F3435" w:rsidRDefault="0032493E">
      <w:pPr>
        <w:ind w:firstLine="720"/>
        <w:jc w:val="both"/>
      </w:pPr>
      <w:r>
        <w:t xml:space="preserve">(Murr)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certain cities to change the date on which their general election for officers is held.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41.0052, Election Code, is amended by amending Subsection (c) and adding Subsection (f) to read as follows:</w:t>
      </w:r>
    </w:p>
    <w:p w:rsidR="003F3435" w:rsidRDefault="0032493E">
      <w:pPr>
        <w:spacing w:line="480" w:lineRule="auto"/>
        <w:ind w:firstLine="720"/>
        <w:jc w:val="both"/>
      </w:pPr>
      <w:r>
        <w:t xml:space="preserve">(c)</w:t>
      </w:r>
      <w:r xml:space="preserve">
        <w:t> </w:t>
      </w:r>
      <w:r xml:space="preserve">
        <w:t> </w:t>
      </w:r>
      <w:r>
        <w:t xml:space="preserve">A home-rule city may implement </w:t>
      </w:r>
      <w:r>
        <w:rPr>
          <w:u w:val="single"/>
        </w:rPr>
        <w:t xml:space="preserve">a</w:t>
      </w:r>
      <w:r>
        <w:t xml:space="preserve"> [</w:t>
      </w:r>
      <w:r>
        <w:rPr>
          <w:strike/>
        </w:rPr>
        <w:t xml:space="preserve">the</w:t>
      </w:r>
      <w:r>
        <w:t xml:space="preserve">] change authorized by </w:t>
      </w:r>
      <w:r>
        <w:rPr>
          <w:u w:val="single"/>
        </w:rPr>
        <w:t xml:space="preserve">this section</w:t>
      </w:r>
      <w:r>
        <w:t xml:space="preserve"> [</w:t>
      </w:r>
      <w:r>
        <w:rPr>
          <w:strike/>
        </w:rPr>
        <w:t xml:space="preserve">Subsection (a)</w:t>
      </w:r>
      <w:r>
        <w:t xml:space="preserve">] or provide for the election of all members of the governing body at the same election through the adoption of a resolution.  The change contained in the resolution supersedes a city charter provision that requires a different general election date or that requires the terms of members of the governing body to be staggered.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governing body of a city with a population of 9,000 or less, located predominantly in a county that has a total area of less than 4,800 square miles, that has adopted a council-manager form of government and that holds its general election for officers on a date other than the November uniform election date may, not later than December 31, 2024, change the date on which it holds its general election for officers to the November uniform election date.  Subsections (b), (c), and (d) apply to the change of an election date under this subsection. </w:t>
      </w:r>
      <w:r>
        <w:rPr>
          <w:u w:val="single"/>
        </w:rPr>
        <w:t xml:space="preserve"> </w:t>
      </w:r>
      <w:r>
        <w:rPr>
          <w:u w:val="single"/>
        </w:rPr>
        <w:t xml:space="preserve">This subsection expires January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