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88R15055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cities to change the date on which their general election for officers is held.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A home-rule city may implement </w:t>
      </w:r>
      <w:r>
        <w:rPr>
          <w:u w:val="single"/>
        </w:rPr>
        <w:t xml:space="preserve">a</w:t>
      </w:r>
      <w:r>
        <w:t xml:space="preserve"> [</w:t>
      </w:r>
      <w:r>
        <w:rPr>
          <w:strike/>
        </w:rPr>
        <w:t xml:space="preserve">the</w:t>
      </w:r>
      <w:r>
        <w:t xml:space="preserve">] change authorized by </w:t>
      </w:r>
      <w:r>
        <w:rPr>
          <w:u w:val="single"/>
        </w:rPr>
        <w:t xml:space="preserve">this section</w:t>
      </w:r>
      <w:r>
        <w:t xml:space="preserve"> [</w:t>
      </w:r>
      <w:r>
        <w:rPr>
          <w:strike/>
        </w:rPr>
        <w:t xml:space="preserve">Subsection (a)</w:t>
      </w:r>
      <w:r>
        <w:t xml:space="preserve">] or provide for the election of all members of the governing body at the same election through the adoption of a resolution.  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governing body of a city with a population of 9,000 or less, located predominantly in a county that has a total area of less than 4,800 square miles, that has adopted a council-manager form of government and that holds its general election for officers on a date other than the November uniform election date may, not later than December 31, 2024, change the date on which it holds its general election for officers to the November uniform election date.  Subsections (b), (c), and (d) apply to the change of an election date under this subsection.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