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</w:t>
      </w:r>
      <w:r>
        <w:rPr>
          <w:u w:val="single"/>
        </w:rPr>
        <w:t xml:space="preserve">, except as provided by Subsection (a-1),</w:t>
      </w:r>
      <w:r>
        <w:t xml:space="preserve"> each newly hired or assigned department employee must </w:t>
      </w:r>
      <w:r>
        <w:rPr>
          <w:u w:val="single"/>
        </w:rPr>
        <w:t xml:space="preserve">successfully</w:t>
      </w:r>
      <w:r>
        <w:t xml:space="preserve"> complete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protective services to elderly persons or persons with disabilities under that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newly hired or assigned department employee may initiate an investigation of a report of alleged abuse, neglect, or exploitation of an elderly person or a person with a disability under Chapter 48 or provide protective services to an elderly person or a person with a disability under that chapter only if the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the process of receiving the training required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initiates the investigation or provides protective services under the direct supervision of the person who is providing the training to the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