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2261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training program required for certain employees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40.035, Human Resources Code, is amended by amending Subsections (a) and (b)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develop and implement a training program that</w:t>
      </w:r>
      <w:r>
        <w:rPr>
          <w:u w:val="single"/>
        </w:rPr>
        <w:t xml:space="preserve">, except as provided by Subsection (a-1),</w:t>
      </w:r>
      <w:r>
        <w:t xml:space="preserve"> each newly hired or assigned department employee must </w:t>
      </w:r>
      <w:r>
        <w:rPr>
          <w:u w:val="single"/>
        </w:rPr>
        <w:t xml:space="preserve">successfully</w:t>
      </w:r>
      <w:r>
        <w:t xml:space="preserve"> complete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initiating an investigation of a report of alleged abuse, neglect, or exploitation of an elderly person or person with a disability under Chapter 48;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protective services to elderly persons or persons with disabilities under that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newly hired or assigned department employee may initiate an investigation of a report of alleged abuse, neglect, or exploitation of an elderly person or a person with a disability under Chapter 48 or provide protective services to an elderly person or a person with a disability under that chapter only if the employee: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 the process of receiving the training required by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initiates the investigation or provides protective services under the direct supervision of the person who is providing the training to the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training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the </w:t>
      </w:r>
      <w:r>
        <w:rPr>
          <w:u w:val="single"/>
        </w:rPr>
        <w:t xml:space="preserve">employee</w:t>
      </w:r>
      <w:r>
        <w:t xml:space="preserve"> [</w:t>
      </w:r>
      <w:r>
        <w:rPr>
          <w:strike/>
        </w:rPr>
        <w:t xml:space="preserve">person</w:t>
      </w:r>
      <w:r>
        <w:t xml:space="preserve">] with appropriate comprehensive information regarding: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incidence and types of reports of abuse, neglect, and exploitation of elderly persons or persons with disabilities that are received by the department, including information concerning false reports;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and proper implementation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risk assessment criteria developed under Section 48.004;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criteria used by caseworkers to determine whether elderly persons or persons with disabilities lack capacity to consent to receive protective services;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legal procedures available under Chapter 48 for the protection of elderly persons or persons with disabilities, including the procedures for obtaining a court order for emergency protective services under Section 48.208;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 best practices for management of a case from the intake process to the provision of protective services, including criteria that specify the circumstances under which an employee should: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consult a supervisor regarding a case;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refer an elderly person or person with a disability to an appropriate public agency or community service provider for guardianship or other long-term services after the delivery of protective services to that person has been completed;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appropriate specialized training in any necessary topics,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investigation of suspected identity theft and other forms of financial exploitation and suspected self-neglect;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establishment and maintenance of working relationships with community organizations and other local providers who provide services to elderly persons and persons with disabilities;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include on-the-job training, which must require another department caseworker with more experience to accompany and train the caseworker in the field;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for the development of individualized training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include training in working with law enforcement agencies and the court system when legal intervention is sought for investigations or emergency orders;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to the maximum extent possible, include nationally recognized best practices in addition to the best practices required under Subdivision (2);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include testing, progress reports, or other evaluations to assess the performance of trainees.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40.035, Human Resources Code, as amended by this Act, applies to an employee who is enrolled in the training program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2261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2261 passed the House on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138, Nays</w:t>
      </w:r>
      <w:r xml:space="preserve">
        <w:t> </w:t>
      </w:r>
      <w:r>
        <w:t xml:space="preserve">2, two</w:t>
      </w:r>
      <w:r xml:space="preserve">
        <w:t> </w:t>
      </w:r>
      <w:r>
        <w:t xml:space="preserve">present</w:t>
      </w:r>
      <w:r xml:space="preserve">
        <w:t> </w:t>
      </w:r>
      <w:r>
        <w:t xml:space="preserve">not</w:t>
      </w:r>
      <w:r xml:space="preserve">
        <w:t> </w:t>
      </w:r>
      <w:r>
        <w:t xml:space="preserve">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