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2261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22,</w:t>
      </w:r>
      <w:r xml:space="preserve">
        <w:t> </w:t>
      </w:r>
      <w:r>
        <w:t xml:space="preserve">2023, read first time and referred to Committee on Health &amp; Human Services; April</w:t>
      </w:r>
      <w:r xml:space="preserve">
        <w:t> </w:t>
      </w:r>
      <w:r>
        <w:t xml:space="preserve">11,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11,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2261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training program required for certain employees of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40.035, Human Resources Code, is amended by amending Subsections (a) and (b)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shall develop and implement a training program that</w:t>
      </w:r>
      <w:r>
        <w:rPr>
          <w:u w:val="single"/>
        </w:rPr>
        <w:t xml:space="preserve">, except as provided by Subsection (a-1),</w:t>
      </w:r>
      <w:r>
        <w:t xml:space="preserve"> each newly hired or assigned department employee must </w:t>
      </w:r>
      <w:r>
        <w:rPr>
          <w:u w:val="single"/>
        </w:rPr>
        <w:t xml:space="preserve">successfully</w:t>
      </w:r>
      <w:r>
        <w:t xml:space="preserve"> complete before: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initiating an investigation of a report of alleged abuse, neglect, or exploitation of an elderly person or person with a disability under Chapter 48;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providing protective services to elderly persons or persons with disabilities under that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newly hired or assigned department employee may initiate an investigation of a report of alleged abuse, neglect, or exploitation of an elderly person or a person with a disability under Chapter 48 or provide protective services to an elderly person or a person with a disability under that chapter only if the employee: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in the process of receiving the training required by Subsection (a);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initiates the investigation or provides protective services under the direct supervision of the person who is providing the training to the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training program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the </w:t>
      </w:r>
      <w:r>
        <w:rPr>
          <w:u w:val="single"/>
        </w:rPr>
        <w:t xml:space="preserve">employee</w:t>
      </w:r>
      <w:r>
        <w:t xml:space="preserve"> [</w:t>
      </w:r>
      <w:r>
        <w:rPr>
          <w:strike/>
        </w:rPr>
        <w:t xml:space="preserve">person</w:t>
      </w:r>
      <w:r>
        <w:t xml:space="preserve">] with appropriate comprehensive information regarding: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incidence and types of reports of abuse, neglect, and exploitation of elderly persons or persons with disabilities that are received by the department, including information concerning false reports;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use and proper implementation of: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risk assessment criteria developed under Section 48.004;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the criteria used by caseworkers to determine whether elderly persons or persons with disabilities lack capacity to consent to receive protective services;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the legal procedures available under Chapter 48 for the protection of elderly persons or persons with disabilities, including the procedures for obtaining a court order for emergency protective services under Section 48.208;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include best practices for management of a case from the intake process to the provision of protective services, including criteria that specify the circumstances under which an employee should: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consult a supervisor regarding a case;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refer an elderly person or person with a disability to an appropriate public agency or community service provider for guardianship or other long-term services after the delivery of protective services to that person has been completed;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provide appropriate specialized training in any necessary topics,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investigation of suspected identity theft and other forms of financial exploitation and suspected self-neglect;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establishment and maintenance of working relationships with community organizations and other local providers who provide services to elderly persons and persons with disabilities;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include on-the-job training, which must require another department caseworker with more experience to accompany and train the caseworker in the field;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provide for the development of individualized training plans;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include training in working with law enforcement agencies and the court system when legal intervention is sought for investigations or emergency orders;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to the maximum extent possible, include nationally recognized best practices in addition to the best practices required under Subdivision (2);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include testing, progress reports, or other evaluations to assess the performance of trainees.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40.035, Human Resources Code, as amended by this Act, applies to an employee who is enrolled in the training program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2261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