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88R12687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adjustment of the average daily attendance of a school district with a high percentage of educationally disadvantaged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any other adjustment to average daily attendance to which a school district may be entitled under this section, if the percentage of educationally disadvantaged students enrolled in a school district for a school year exceeds the state average percentage of educationally disadvantaged students enrolled in school districts for that school year, the commissioner shall adjust the district's average daily attendance for that school year by multiplying the district's average daily attendance by an amount, if that amount is greater than one, equal to the quotient of the state average student attendance rate and the district's student attendance rate. For purposes of this subsection, a district's student attendance rate is the quotient of the sum of attendance by students in membership for purposes of average daily attendance for each day of the minimum number of days of instruction as described under Section 25.081(a) divided by the sum of the number of days of the minimum number of days of instruction for which those students are in membership.</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