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88R5427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annual adjustment to the basic allotment under the Foundation School Program to reflect inflation.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48.051,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adjustment under Subsection (a-1), for</w:t>
      </w:r>
      <w:r>
        <w:t xml:space="preserve"> [</w:t>
      </w:r>
      <w:r>
        <w:rPr>
          <w:strike/>
        </w:rPr>
        <w:t xml:space="preserve">For</w:t>
      </w:r>
      <w:r>
        <w:t xml:space="preserve">]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$6,160 or the amount that results from the following formula:</w:t>
      </w:r>
    </w:p>
    <w:p w:rsidR="003F3435" w:rsidRDefault="0032493E">
      <w:pPr>
        <w:spacing w:line="480" w:lineRule="auto"/>
        <w:jc w:val="center"/>
      </w:pPr>
      <w:r>
        <w:t xml:space="preserve">A = $6,160 X TR/MCR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"TR" is the district's tier one maintenance and operations tax rate, as provided by Section 45.0032; and</w:t>
      </w:r>
    </w:p>
    <w:p w:rsidR="003F3435" w:rsidRDefault="0032493E">
      <w:pPr>
        <w:spacing w:line="480" w:lineRule="auto"/>
        <w:ind w:firstLine="720"/>
        <w:jc w:val="both"/>
      </w:pPr>
      <w:r>
        <w:t xml:space="preserve">"MCR" is the district's maximum compressed tax rate, as determined under Section 48.2551.</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2023-2024 school year, the basic allotment provided to a district under Subsection (a) or (b) is adjusted annually to increase the allotment by the amount that results from applying the inflation rate, as determined by the comptroller, to the allotment for the preceding school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48.202(a-1),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For purposes of Subsection (a), the dollar amount guaranteed level of state and local funds per weighted student per cent of tax effort ("GL") for a school district is:</w:t>
      </w:r>
    </w:p>
    <w:p w:rsidR="003F3435" w:rsidRDefault="0032493E">
      <w:pPr>
        <w:spacing w:line="480" w:lineRule="auto"/>
        <w:ind w:firstLine="1440"/>
        <w:jc w:val="both"/>
      </w:pPr>
      <w:r>
        <w:t xml:space="preserve">(1)</w:t>
      </w:r>
      <w:r xml:space="preserve">
        <w:t> </w:t>
      </w:r>
      <w:r xml:space="preserve">
        <w:t> </w:t>
      </w:r>
      <w:r>
        <w:t xml:space="preserve">the greater of the amount of district tax revenue per weighted student per cent of tax effort available to a school district at the 96th percentile of wealth per weighted student or the amount that results from multiplying 6,160, or the greater amount provided under Section </w:t>
      </w:r>
      <w:r>
        <w:rPr>
          <w:u w:val="single"/>
        </w:rPr>
        <w:t xml:space="preserve">48.051(a-1) or (b)</w:t>
      </w:r>
      <w:r>
        <w:t xml:space="preserve"> [</w:t>
      </w:r>
      <w:r>
        <w:rPr>
          <w:strike/>
        </w:rPr>
        <w:t xml:space="preserve">48.051(b)</w:t>
      </w:r>
      <w:r>
        <w:t xml:space="preserve">], if applicable, by 0.016, for the first eight cents by which the district's maintenance and operations tax rate exceeds the district's tier one tax rate; and</w:t>
      </w:r>
    </w:p>
    <w:p w:rsidR="003F3435" w:rsidRDefault="0032493E">
      <w:pPr>
        <w:spacing w:line="480" w:lineRule="auto"/>
        <w:ind w:firstLine="1440"/>
        <w:jc w:val="both"/>
      </w:pPr>
      <w:r>
        <w:t xml:space="preserve">(2)</w:t>
      </w:r>
      <w:r xml:space="preserve">
        <w:t> </w:t>
      </w:r>
      <w:r xml:space="preserve">
        <w:t> </w:t>
      </w:r>
      <w:r>
        <w:t xml:space="preserve">subject to Subsection (f), the amount that results from multiplying $6,160, or the greater amount provided under Section </w:t>
      </w:r>
      <w:r>
        <w:rPr>
          <w:u w:val="single"/>
        </w:rPr>
        <w:t xml:space="preserve">48.051(a-1) or (b)</w:t>
      </w:r>
      <w:r>
        <w:t xml:space="preserve"> [</w:t>
      </w:r>
      <w:r>
        <w:rPr>
          <w:strike/>
        </w:rPr>
        <w:t xml:space="preserve">48.051(b)</w:t>
      </w:r>
      <w:r>
        <w:t xml:space="preserve">], if applicable, by 0.008, for the district's maintenance and operations tax effort that exceeds the amount of tax effort described by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