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88R13802 DIO-F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2273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semiannual school safety meetings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37, Education Code, is amended by adding Section 37.0833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37.0833.</w:t>
      </w:r>
      <w:r>
        <w:rPr>
          <w:u w:val="single"/>
        </w:rPr>
        <w:t xml:space="preserve"> </w:t>
      </w:r>
      <w:r>
        <w:rPr>
          <w:u w:val="single"/>
        </w:rPr>
        <w:t xml:space="preserve"> </w:t>
      </w:r>
      <w:r>
        <w:rPr>
          <w:u w:val="single"/>
        </w:rPr>
        <w:t xml:space="preserve">SCHOOL SAFETY MEETINGS.  (a)  The sheriff of a county with a total population of less than 300,000 in which a public school is located, shall call and conduct  semiannual meetings to discuss: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school safety;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coordinated law enforcement response to school violence incidents;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law enforcement agency capabilities;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available resources;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emergency radio interoperability;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chain of command planning; and</w:t>
      </w:r>
      <w:r>
        <w:t xml:space="preserve"> </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other related subjects proposed by a person in attendance at the meeting.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following persons shall attend a meeting called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sheriff or the sheriff's designee;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police chief of a municipal police department in the county or the police chief's designee;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each elected constable in the county or the constable's designees;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each police chief of a school district's police department or school district security coordinator from each school district located in the county;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representative of the Department of Public Safety assigned to the county;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person appointed to a command staff position at an emergency medical service in the county;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person appointed to a command staff position at a municipal emergency medical service in the county;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person appointed to a command staff position at a fire department in the county;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any other person the sheriff considers appropriate.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As soon as practicable after a meeting under Subsection (a), the sheriff shall submit a report to the Texas School Safety Center identifying the attendees of the meeting and the subjects discussed. The Texas School Safety Center shall maintain the report and make it publicly available on the center's Internet website.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sheriff of a county described by Section 37.0833(a), Education Code, as added by this Act, shall call a meeting as provided by that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